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7A0B2" w14:textId="77777777" w:rsidR="002E6F5A" w:rsidRPr="003247B0" w:rsidRDefault="003247B0" w:rsidP="003247B0">
      <w:pPr>
        <w:pStyle w:val="Tittel"/>
        <w:spacing w:before="0"/>
        <w:ind w:left="368" w:hanging="357"/>
        <w:rPr>
          <w:rFonts w:ascii="Work Sans" w:hAnsi="Work Sans"/>
          <w:color w:val="252E9E"/>
        </w:rPr>
      </w:pPr>
      <w:r w:rsidRPr="003247B0">
        <w:rPr>
          <w:rFonts w:ascii="Work Sans" w:hAnsi="Work Sans"/>
          <w:color w:val="252E9E"/>
        </w:rPr>
        <w:t xml:space="preserve">Terms and Conditions Loss of </w:t>
      </w:r>
      <w:proofErr w:type="spellStart"/>
      <w:r w:rsidRPr="003247B0">
        <w:rPr>
          <w:rFonts w:ascii="Work Sans" w:hAnsi="Work Sans"/>
          <w:color w:val="252E9E"/>
          <w:spacing w:val="-2"/>
        </w:rPr>
        <w:t>Licence</w:t>
      </w:r>
      <w:proofErr w:type="spellEnd"/>
    </w:p>
    <w:p w14:paraId="553CB470" w14:textId="77777777" w:rsidR="002E6F5A" w:rsidRPr="003247B0" w:rsidRDefault="002E6F5A" w:rsidP="003247B0">
      <w:pPr>
        <w:pStyle w:val="Brdtekst"/>
        <w:ind w:left="368" w:hanging="357"/>
        <w:rPr>
          <w:rFonts w:ascii="Work Sans" w:hAnsi="Work Sans"/>
          <w:b/>
          <w:sz w:val="32"/>
        </w:rPr>
      </w:pPr>
    </w:p>
    <w:p w14:paraId="14E31C8F" w14:textId="77777777" w:rsidR="002E6F5A" w:rsidRPr="003247B0" w:rsidRDefault="003247B0" w:rsidP="003247B0">
      <w:pPr>
        <w:pStyle w:val="Overskrift1"/>
        <w:numPr>
          <w:ilvl w:val="0"/>
          <w:numId w:val="2"/>
        </w:numPr>
        <w:tabs>
          <w:tab w:val="left" w:pos="818"/>
        </w:tabs>
        <w:ind w:left="368" w:hanging="357"/>
        <w:rPr>
          <w:rFonts w:ascii="Work Sans" w:hAnsi="Work Sans"/>
        </w:rPr>
      </w:pPr>
      <w:r w:rsidRPr="003247B0">
        <w:rPr>
          <w:rFonts w:ascii="Work Sans" w:hAnsi="Work Sans"/>
        </w:rPr>
        <w:t xml:space="preserve">What </w:t>
      </w:r>
      <w:proofErr w:type="gramStart"/>
      <w:r w:rsidRPr="003247B0">
        <w:rPr>
          <w:rFonts w:ascii="Work Sans" w:hAnsi="Work Sans"/>
        </w:rPr>
        <w:t>the insurance</w:t>
      </w:r>
      <w:proofErr w:type="gramEnd"/>
      <w:r w:rsidRPr="003247B0">
        <w:rPr>
          <w:rFonts w:ascii="Work Sans" w:hAnsi="Work Sans"/>
        </w:rPr>
        <w:t xml:space="preserve"> </w:t>
      </w:r>
      <w:r w:rsidRPr="003247B0">
        <w:rPr>
          <w:rFonts w:ascii="Work Sans" w:hAnsi="Work Sans"/>
          <w:spacing w:val="-2"/>
        </w:rPr>
        <w:t>covers</w:t>
      </w:r>
    </w:p>
    <w:p w14:paraId="7E7CF3B9" w14:textId="505AE3DE" w:rsidR="002E6F5A" w:rsidRPr="004D09E6" w:rsidRDefault="00AE71BE" w:rsidP="003247B0">
      <w:pPr>
        <w:pStyle w:val="Brdtekst"/>
        <w:spacing w:before="82"/>
        <w:ind w:left="11" w:right="130"/>
        <w:rPr>
          <w:rFonts w:ascii="Work Sans" w:hAnsi="Work Sans"/>
        </w:rPr>
      </w:pPr>
      <w:r>
        <w:rPr>
          <w:rFonts w:ascii="Work Sans" w:hAnsi="Work Sans"/>
        </w:rPr>
        <w:br/>
      </w:r>
      <w:r w:rsidR="003247B0" w:rsidRPr="004D09E6">
        <w:rPr>
          <w:rFonts w:ascii="Work Sans" w:hAnsi="Work Sans"/>
        </w:rPr>
        <w:t>The company is liable for loss of medical certificate (</w:t>
      </w:r>
      <w:r w:rsidR="001971CD" w:rsidRPr="004D09E6">
        <w:rPr>
          <w:rFonts w:ascii="Work Sans" w:hAnsi="Work Sans"/>
        </w:rPr>
        <w:t>license</w:t>
      </w:r>
      <w:r w:rsidR="003247B0" w:rsidRPr="004D09E6">
        <w:rPr>
          <w:rFonts w:ascii="Work Sans" w:hAnsi="Work Sans"/>
        </w:rPr>
        <w:t xml:space="preserve">) arising </w:t>
      </w:r>
      <w:proofErr w:type="gramStart"/>
      <w:r w:rsidR="003247B0" w:rsidRPr="004D09E6">
        <w:rPr>
          <w:rFonts w:ascii="Work Sans" w:hAnsi="Work Sans"/>
        </w:rPr>
        <w:t>as a result of</w:t>
      </w:r>
      <w:proofErr w:type="gramEnd"/>
      <w:r w:rsidR="003247B0" w:rsidRPr="004D09E6">
        <w:rPr>
          <w:rFonts w:ascii="Work Sans" w:hAnsi="Work Sans"/>
        </w:rPr>
        <w:t xml:space="preserve"> accidental injury or illness that results in permanent loss of medical certificate, such that the insured person can no longer perform duties on board. This also applies even if the insured person can find other work on land. Compensation is paid at the agreed </w:t>
      </w:r>
      <w:proofErr w:type="gramStart"/>
      <w:r w:rsidR="003247B0" w:rsidRPr="004D09E6">
        <w:rPr>
          <w:rFonts w:ascii="Work Sans" w:hAnsi="Work Sans"/>
        </w:rPr>
        <w:t>sum insured</w:t>
      </w:r>
      <w:proofErr w:type="gramEnd"/>
      <w:r w:rsidR="003247B0" w:rsidRPr="004D09E6">
        <w:rPr>
          <w:rFonts w:ascii="Work Sans" w:hAnsi="Work Sans"/>
        </w:rPr>
        <w:t xml:space="preserve"> as stated in the policyholder's insurance certificate.</w:t>
      </w:r>
    </w:p>
    <w:p w14:paraId="1A9EEFDA" w14:textId="77777777" w:rsidR="002E6F5A" w:rsidRPr="004D09E6" w:rsidRDefault="003247B0" w:rsidP="003247B0">
      <w:pPr>
        <w:pStyle w:val="Brdtekst"/>
        <w:spacing w:before="82" w:line="259" w:lineRule="auto"/>
        <w:ind w:left="11" w:right="130"/>
        <w:rPr>
          <w:rFonts w:ascii="Work Sans" w:hAnsi="Work Sans"/>
        </w:rPr>
      </w:pPr>
      <w:r w:rsidRPr="004D09E6">
        <w:rPr>
          <w:rFonts w:ascii="Work Sans" w:hAnsi="Work Sans"/>
        </w:rPr>
        <w:t>The insured event is deemed to have occurred on the day the valid medical certificate is withdrawn with permanent effect, i.e. the day the "Declaration of Unfitness" is issued with permanent effect.</w:t>
      </w:r>
    </w:p>
    <w:p w14:paraId="5E644A8C" w14:textId="77777777" w:rsidR="002E6F5A" w:rsidRPr="004D09E6" w:rsidRDefault="003247B0" w:rsidP="003247B0">
      <w:pPr>
        <w:pStyle w:val="Brdtekst"/>
        <w:spacing w:before="82" w:line="259" w:lineRule="auto"/>
        <w:ind w:left="11" w:right="130"/>
        <w:rPr>
          <w:rFonts w:ascii="Work Sans" w:hAnsi="Work Sans"/>
        </w:rPr>
      </w:pPr>
      <w:r w:rsidRPr="004D09E6">
        <w:rPr>
          <w:rFonts w:ascii="Work Sans" w:hAnsi="Work Sans"/>
        </w:rPr>
        <w:t>If the insured event occurs during a continuous period of sick leave that continues after the employer has terminated the insured person's employment, the insured person shall be covered by the insurance at the time of the declaration of incapacity, as long as the reason for issuing the certificate of incapacity coincides with the reason for the sick leave and the person concerned was covered by the insurance on the first day of the relevant period of sick leave.</w:t>
      </w:r>
    </w:p>
    <w:p w14:paraId="59D0DC9F" w14:textId="28BF4F66" w:rsidR="002E6F5A" w:rsidRPr="003247B0" w:rsidRDefault="003247B0" w:rsidP="00E756F2">
      <w:pPr>
        <w:pStyle w:val="Brdtekst"/>
        <w:spacing w:before="82" w:line="259" w:lineRule="auto"/>
        <w:ind w:left="11" w:right="130"/>
        <w:rPr>
          <w:rFonts w:ascii="Work Sans" w:hAnsi="Work Sans"/>
        </w:rPr>
      </w:pPr>
      <w:r w:rsidRPr="004D09E6">
        <w:rPr>
          <w:rFonts w:ascii="Work Sans" w:hAnsi="Work Sans"/>
        </w:rPr>
        <w:t xml:space="preserve">It is also a condition that the </w:t>
      </w:r>
      <w:proofErr w:type="gramStart"/>
      <w:r w:rsidRPr="004D09E6">
        <w:rPr>
          <w:rFonts w:ascii="Work Sans" w:hAnsi="Work Sans"/>
        </w:rPr>
        <w:t>insured</w:t>
      </w:r>
      <w:proofErr w:type="gramEnd"/>
      <w:r w:rsidRPr="004D09E6">
        <w:rPr>
          <w:rFonts w:ascii="Work Sans" w:hAnsi="Work Sans"/>
        </w:rPr>
        <w:t xml:space="preserve"> event occurs no later than one (1) year after the termination of employment.</w:t>
      </w:r>
    </w:p>
    <w:p w14:paraId="3CAC9747" w14:textId="77777777" w:rsidR="002E6F5A" w:rsidRPr="003247B0" w:rsidRDefault="002E6F5A" w:rsidP="003247B0">
      <w:pPr>
        <w:pStyle w:val="Brdtekst"/>
        <w:ind w:left="368" w:hanging="357"/>
        <w:rPr>
          <w:rFonts w:ascii="Work Sans" w:hAnsi="Work Sans"/>
        </w:rPr>
      </w:pPr>
    </w:p>
    <w:p w14:paraId="3472B87B" w14:textId="41D68C3F" w:rsidR="003247B0" w:rsidRPr="00E756F2" w:rsidRDefault="003247B0" w:rsidP="00E756F2">
      <w:pPr>
        <w:pStyle w:val="Overskrift1"/>
        <w:numPr>
          <w:ilvl w:val="0"/>
          <w:numId w:val="2"/>
        </w:numPr>
        <w:tabs>
          <w:tab w:val="left" w:pos="818"/>
        </w:tabs>
        <w:ind w:left="368" w:hanging="357"/>
        <w:rPr>
          <w:rFonts w:ascii="Work Sans" w:hAnsi="Work Sans"/>
        </w:rPr>
      </w:pPr>
      <w:r w:rsidRPr="003247B0">
        <w:rPr>
          <w:rFonts w:ascii="Work Sans" w:hAnsi="Work Sans"/>
        </w:rPr>
        <w:t>Duty of disclosure</w:t>
      </w:r>
      <w:r w:rsidR="00E756F2">
        <w:rPr>
          <w:rFonts w:ascii="Work Sans" w:hAnsi="Work Sans"/>
        </w:rPr>
        <w:br/>
      </w:r>
    </w:p>
    <w:p w14:paraId="281F062E" w14:textId="6ED3C4A5" w:rsidR="002E6F5A" w:rsidRPr="004D09E6" w:rsidRDefault="003247B0" w:rsidP="003247B0">
      <w:pPr>
        <w:pStyle w:val="Brdtekst"/>
        <w:spacing w:before="82"/>
        <w:ind w:left="11" w:right="130"/>
        <w:rPr>
          <w:rFonts w:ascii="Work Sans" w:hAnsi="Work Sans"/>
        </w:rPr>
      </w:pPr>
      <w:r w:rsidRPr="004D09E6">
        <w:rPr>
          <w:rFonts w:ascii="Work Sans" w:hAnsi="Work Sans"/>
        </w:rPr>
        <w:t xml:space="preserve">The policyholder and the insured shall provide correct and complete answers to the company's questions, cf. </w:t>
      </w:r>
      <w:r w:rsidR="004D0761">
        <w:rPr>
          <w:rFonts w:ascii="Work Sans" w:hAnsi="Work Sans"/>
        </w:rPr>
        <w:t xml:space="preserve">section </w:t>
      </w:r>
      <w:r w:rsidRPr="004D09E6">
        <w:rPr>
          <w:rFonts w:ascii="Work Sans" w:hAnsi="Work Sans"/>
        </w:rPr>
        <w:t>13-1</w:t>
      </w:r>
      <w:r w:rsidR="004D0761">
        <w:rPr>
          <w:rFonts w:ascii="Work Sans" w:hAnsi="Work Sans"/>
        </w:rPr>
        <w:t xml:space="preserve"> of </w:t>
      </w:r>
      <w:r w:rsidR="009105BA">
        <w:rPr>
          <w:rFonts w:ascii="Work Sans" w:hAnsi="Work Sans"/>
        </w:rPr>
        <w:t xml:space="preserve">the Norwegian </w:t>
      </w:r>
      <w:r w:rsidR="009105BA" w:rsidRPr="00561A19">
        <w:rPr>
          <w:rFonts w:ascii="Work Sans" w:hAnsi="Work Sans"/>
        </w:rPr>
        <w:t>Insurance Contract</w:t>
      </w:r>
      <w:r w:rsidR="009105BA">
        <w:rPr>
          <w:rFonts w:ascii="Work Sans" w:hAnsi="Work Sans"/>
        </w:rPr>
        <w:t>s</w:t>
      </w:r>
      <w:r w:rsidR="009105BA" w:rsidRPr="00561A19">
        <w:rPr>
          <w:rFonts w:ascii="Work Sans" w:hAnsi="Work Sans"/>
        </w:rPr>
        <w:t xml:space="preserve"> Act</w:t>
      </w:r>
      <w:r w:rsidRPr="004D09E6">
        <w:rPr>
          <w:rFonts w:ascii="Work Sans" w:hAnsi="Work Sans"/>
        </w:rPr>
        <w:t>.</w:t>
      </w:r>
    </w:p>
    <w:p w14:paraId="493CD552" w14:textId="512CDCDF" w:rsidR="002E6F5A" w:rsidRPr="004D09E6" w:rsidRDefault="003247B0" w:rsidP="003247B0">
      <w:pPr>
        <w:pStyle w:val="Brdtekst"/>
        <w:spacing w:before="82"/>
        <w:ind w:left="11" w:right="130"/>
        <w:rPr>
          <w:rFonts w:ascii="Work Sans" w:hAnsi="Work Sans"/>
        </w:rPr>
      </w:pPr>
      <w:r w:rsidRPr="004D09E6">
        <w:rPr>
          <w:rFonts w:ascii="Work Sans" w:hAnsi="Work Sans"/>
        </w:rPr>
        <w:t xml:space="preserve">If the insured and/or policyholder has provided incorrect information, the company's liability may be reduced or lapse, cf. </w:t>
      </w:r>
      <w:r w:rsidR="009105BA">
        <w:rPr>
          <w:rFonts w:ascii="Work Sans" w:hAnsi="Work Sans"/>
        </w:rPr>
        <w:t xml:space="preserve">section </w:t>
      </w:r>
      <w:r w:rsidRPr="004D09E6">
        <w:rPr>
          <w:rFonts w:ascii="Work Sans" w:hAnsi="Work Sans"/>
        </w:rPr>
        <w:t>13-2</w:t>
      </w:r>
      <w:r w:rsidR="009105BA">
        <w:rPr>
          <w:rFonts w:ascii="Work Sans" w:hAnsi="Work Sans"/>
        </w:rPr>
        <w:t xml:space="preserve"> of the Norwegian </w:t>
      </w:r>
      <w:r w:rsidR="009105BA" w:rsidRPr="00561A19">
        <w:rPr>
          <w:rFonts w:ascii="Work Sans" w:hAnsi="Work Sans"/>
        </w:rPr>
        <w:t>Insurance Contract</w:t>
      </w:r>
      <w:r w:rsidR="009105BA">
        <w:rPr>
          <w:rFonts w:ascii="Work Sans" w:hAnsi="Work Sans"/>
        </w:rPr>
        <w:t>s</w:t>
      </w:r>
      <w:r w:rsidR="009105BA" w:rsidRPr="00561A19">
        <w:rPr>
          <w:rFonts w:ascii="Work Sans" w:hAnsi="Work Sans"/>
        </w:rPr>
        <w:t xml:space="preserve"> Act</w:t>
      </w:r>
      <w:r w:rsidRPr="004D09E6">
        <w:rPr>
          <w:rFonts w:ascii="Work Sans" w:hAnsi="Work Sans"/>
        </w:rPr>
        <w:t>.</w:t>
      </w:r>
    </w:p>
    <w:p w14:paraId="3DD096FC" w14:textId="77777777" w:rsidR="002E6F5A" w:rsidRPr="003247B0" w:rsidRDefault="002E6F5A" w:rsidP="003247B0">
      <w:pPr>
        <w:pStyle w:val="Brdtekst"/>
        <w:ind w:left="368" w:hanging="357"/>
        <w:rPr>
          <w:rFonts w:ascii="Work Sans" w:hAnsi="Work Sans"/>
        </w:rPr>
      </w:pPr>
    </w:p>
    <w:p w14:paraId="3B966657" w14:textId="791BE43E" w:rsidR="003247B0" w:rsidRPr="009105BA" w:rsidRDefault="003247B0" w:rsidP="009105BA">
      <w:pPr>
        <w:pStyle w:val="Overskrift1"/>
        <w:numPr>
          <w:ilvl w:val="0"/>
          <w:numId w:val="2"/>
        </w:numPr>
        <w:tabs>
          <w:tab w:val="left" w:pos="818"/>
        </w:tabs>
        <w:ind w:left="368" w:hanging="357"/>
        <w:rPr>
          <w:rFonts w:ascii="Work Sans" w:hAnsi="Work Sans"/>
        </w:rPr>
      </w:pPr>
      <w:r w:rsidRPr="003247B0">
        <w:rPr>
          <w:rFonts w:ascii="Work Sans" w:hAnsi="Work Sans"/>
          <w:spacing w:val="-4"/>
        </w:rPr>
        <w:t xml:space="preserve">When </w:t>
      </w:r>
      <w:r w:rsidRPr="003247B0">
        <w:rPr>
          <w:rFonts w:ascii="Work Sans" w:hAnsi="Work Sans"/>
        </w:rPr>
        <w:t>the company's liability begins</w:t>
      </w:r>
      <w:r w:rsidR="009105BA">
        <w:rPr>
          <w:rFonts w:ascii="Work Sans" w:hAnsi="Work Sans"/>
        </w:rPr>
        <w:br/>
      </w:r>
    </w:p>
    <w:p w14:paraId="72F9E37E" w14:textId="77777777" w:rsidR="002E6F5A" w:rsidRPr="003247B0" w:rsidRDefault="003247B0" w:rsidP="003247B0">
      <w:pPr>
        <w:pStyle w:val="Overskrift2"/>
        <w:numPr>
          <w:ilvl w:val="1"/>
          <w:numId w:val="2"/>
        </w:numPr>
        <w:tabs>
          <w:tab w:val="left" w:pos="1007"/>
        </w:tabs>
        <w:ind w:left="368" w:hanging="357"/>
        <w:rPr>
          <w:rFonts w:ascii="Work Sans" w:hAnsi="Work Sans"/>
        </w:rPr>
      </w:pPr>
      <w:r w:rsidRPr="003247B0">
        <w:rPr>
          <w:rFonts w:ascii="Work Sans" w:hAnsi="Work Sans"/>
        </w:rPr>
        <w:t xml:space="preserve">The insured has submitted a health declaration to </w:t>
      </w:r>
      <w:r w:rsidRPr="003247B0">
        <w:rPr>
          <w:rFonts w:ascii="Work Sans" w:hAnsi="Work Sans"/>
          <w:spacing w:val="-2"/>
        </w:rPr>
        <w:t>the company</w:t>
      </w:r>
    </w:p>
    <w:p w14:paraId="77995C6B" w14:textId="77777777" w:rsidR="002E6F5A" w:rsidRPr="004D09E6" w:rsidRDefault="003247B0" w:rsidP="003247B0">
      <w:pPr>
        <w:pStyle w:val="Brdtekst"/>
        <w:spacing w:before="82"/>
        <w:ind w:left="11" w:right="130"/>
        <w:rPr>
          <w:rFonts w:ascii="Work Sans" w:hAnsi="Work Sans"/>
        </w:rPr>
      </w:pPr>
      <w:r w:rsidRPr="004D09E6">
        <w:rPr>
          <w:rFonts w:ascii="Work Sans" w:hAnsi="Work Sans"/>
        </w:rPr>
        <w:t>For employees who are permanently employed when the insurance contract comes into force, the company's liability commences upon the contract coming into force, provided that the insured person submits a valid health certificate and submits a health declaration that is approved by the company.</w:t>
      </w:r>
    </w:p>
    <w:p w14:paraId="517B7A9E" w14:textId="77777777" w:rsidR="002E6F5A" w:rsidRPr="004D09E6" w:rsidRDefault="003247B0" w:rsidP="003247B0">
      <w:pPr>
        <w:pStyle w:val="Brdtekst"/>
        <w:spacing w:before="82"/>
        <w:ind w:left="11" w:right="130"/>
        <w:rPr>
          <w:rFonts w:ascii="Work Sans" w:hAnsi="Work Sans"/>
        </w:rPr>
      </w:pPr>
      <w:r w:rsidRPr="004D09E6">
        <w:rPr>
          <w:rFonts w:ascii="Work Sans" w:hAnsi="Work Sans"/>
        </w:rPr>
        <w:t>For employees hired after the agreement comes into force, the company's liability shall commence on the date on which the employee takes up permanent employment, provided that the insured person submits a valid health certificate and makes a health declaration that is approved by the company.</w:t>
      </w:r>
    </w:p>
    <w:p w14:paraId="091BE215" w14:textId="4E287340" w:rsidR="002E6F5A" w:rsidRPr="004D09E6" w:rsidRDefault="003247B0" w:rsidP="003247B0">
      <w:pPr>
        <w:pStyle w:val="Brdtekst"/>
        <w:spacing w:before="82"/>
        <w:ind w:left="11" w:right="130"/>
        <w:rPr>
          <w:rFonts w:ascii="Work Sans" w:hAnsi="Work Sans"/>
        </w:rPr>
      </w:pPr>
      <w:r w:rsidRPr="004D09E6">
        <w:rPr>
          <w:rFonts w:ascii="Work Sans" w:hAnsi="Work Sans"/>
        </w:rPr>
        <w:t xml:space="preserve">Based on information received about the insured person's health, the company may reject the application for insurance or make reservations regarding liability for illness existing at the time of subscription, cf. </w:t>
      </w:r>
      <w:r w:rsidR="00E54346">
        <w:rPr>
          <w:rFonts w:ascii="Work Sans" w:hAnsi="Work Sans"/>
        </w:rPr>
        <w:t>section</w:t>
      </w:r>
      <w:r w:rsidRPr="004D09E6">
        <w:rPr>
          <w:rFonts w:ascii="Work Sans" w:hAnsi="Work Sans"/>
        </w:rPr>
        <w:t xml:space="preserve"> 13-5</w:t>
      </w:r>
      <w:r w:rsidR="00E54346">
        <w:rPr>
          <w:rFonts w:ascii="Work Sans" w:hAnsi="Work Sans"/>
        </w:rPr>
        <w:t xml:space="preserve"> of the Norwegian </w:t>
      </w:r>
      <w:r w:rsidR="00E54346" w:rsidRPr="00561A19">
        <w:rPr>
          <w:rFonts w:ascii="Work Sans" w:hAnsi="Work Sans"/>
        </w:rPr>
        <w:t>Insurance Contract</w:t>
      </w:r>
      <w:r w:rsidR="00E54346">
        <w:rPr>
          <w:rFonts w:ascii="Work Sans" w:hAnsi="Work Sans"/>
        </w:rPr>
        <w:t>s</w:t>
      </w:r>
      <w:r w:rsidR="00E54346" w:rsidRPr="00561A19">
        <w:rPr>
          <w:rFonts w:ascii="Work Sans" w:hAnsi="Work Sans"/>
        </w:rPr>
        <w:t xml:space="preserve"> Act</w:t>
      </w:r>
      <w:r w:rsidRPr="004D09E6">
        <w:rPr>
          <w:rFonts w:ascii="Work Sans" w:hAnsi="Work Sans"/>
        </w:rPr>
        <w:t>.</w:t>
      </w:r>
    </w:p>
    <w:p w14:paraId="4DADE35C" w14:textId="4E202E27" w:rsidR="003247B0" w:rsidRPr="004D09E6" w:rsidRDefault="003247B0" w:rsidP="007D3DA8">
      <w:pPr>
        <w:pStyle w:val="Brdtekst"/>
        <w:spacing w:before="82"/>
        <w:ind w:left="11" w:right="130"/>
        <w:rPr>
          <w:rFonts w:ascii="Work Sans" w:hAnsi="Work Sans"/>
        </w:rPr>
      </w:pPr>
      <w:r w:rsidRPr="004D09E6">
        <w:rPr>
          <w:rFonts w:ascii="Work Sans" w:hAnsi="Work Sans"/>
        </w:rPr>
        <w:t>If the insured person's health declaration is approved with reservations, the insurance does not cover illness, disability or injury for which reservations have been made</w:t>
      </w:r>
      <w:r w:rsidR="007D3DA8">
        <w:rPr>
          <w:rFonts w:ascii="Work Sans" w:hAnsi="Work Sans"/>
        </w:rPr>
        <w:t>.</w:t>
      </w:r>
      <w:r w:rsidR="007D3DA8">
        <w:rPr>
          <w:rFonts w:ascii="Work Sans" w:hAnsi="Work Sans"/>
        </w:rPr>
        <w:br/>
      </w:r>
    </w:p>
    <w:p w14:paraId="50BB7A0A" w14:textId="77777777" w:rsidR="002E6F5A" w:rsidRPr="003247B0" w:rsidRDefault="003247B0" w:rsidP="003247B0">
      <w:pPr>
        <w:pStyle w:val="Overskrift2"/>
        <w:numPr>
          <w:ilvl w:val="1"/>
          <w:numId w:val="2"/>
        </w:numPr>
        <w:tabs>
          <w:tab w:val="left" w:pos="835"/>
        </w:tabs>
        <w:ind w:left="368" w:hanging="357"/>
        <w:rPr>
          <w:rFonts w:ascii="Work Sans" w:hAnsi="Work Sans"/>
        </w:rPr>
      </w:pPr>
      <w:r w:rsidRPr="003247B0">
        <w:rPr>
          <w:rFonts w:ascii="Work Sans" w:hAnsi="Work Sans"/>
        </w:rPr>
        <w:t xml:space="preserve">The insured person has not submitted a health declaration to </w:t>
      </w:r>
      <w:r w:rsidRPr="003247B0">
        <w:rPr>
          <w:rFonts w:ascii="Work Sans" w:hAnsi="Work Sans"/>
          <w:spacing w:val="-2"/>
        </w:rPr>
        <w:t>the company</w:t>
      </w:r>
    </w:p>
    <w:p w14:paraId="5E5D80DB" w14:textId="77777777" w:rsidR="00253B1F" w:rsidRDefault="00253B1F" w:rsidP="003247B0">
      <w:pPr>
        <w:pStyle w:val="Brdtekst"/>
        <w:spacing w:before="82"/>
        <w:ind w:left="11" w:right="130"/>
        <w:rPr>
          <w:rFonts w:ascii="Work Sans" w:hAnsi="Work Sans"/>
        </w:rPr>
      </w:pPr>
      <w:r w:rsidRPr="00253B1F">
        <w:rPr>
          <w:rFonts w:ascii="Work Sans" w:hAnsi="Work Sans"/>
        </w:rPr>
        <w:t>For employees who are permanently employed when the insurance agreement enters into force, the company's liability commences at the effective date of the agreement provided that the insured presents a valid medical certificate and the policyholder submits a written declaration that the employee was fully fit for work at that time.</w:t>
      </w:r>
    </w:p>
    <w:p w14:paraId="63EFD7D7" w14:textId="77777777" w:rsidR="00253B1F" w:rsidRDefault="00253B1F" w:rsidP="003247B0">
      <w:pPr>
        <w:pStyle w:val="Brdtekst"/>
        <w:spacing w:before="82"/>
        <w:ind w:left="11" w:right="130"/>
        <w:rPr>
          <w:rFonts w:ascii="Work Sans" w:hAnsi="Work Sans"/>
        </w:rPr>
      </w:pPr>
      <w:r w:rsidRPr="00253B1F">
        <w:rPr>
          <w:rFonts w:ascii="Work Sans" w:hAnsi="Work Sans"/>
        </w:rPr>
        <w:br/>
        <w:t xml:space="preserve">For employees hired after the agreement enters into force, the company's liability commences on </w:t>
      </w:r>
      <w:proofErr w:type="gramStart"/>
      <w:r w:rsidRPr="00253B1F">
        <w:rPr>
          <w:rFonts w:ascii="Work Sans" w:hAnsi="Work Sans"/>
        </w:rPr>
        <w:lastRenderedPageBreak/>
        <w:t>the</w:t>
      </w:r>
      <w:proofErr w:type="gramEnd"/>
      <w:r w:rsidRPr="00253B1F">
        <w:rPr>
          <w:rFonts w:ascii="Work Sans" w:hAnsi="Work Sans"/>
        </w:rPr>
        <w:t xml:space="preserve"> day the employee assumes a permanent position, provided that the insured presents a valid medical certificate and the policyholder submits a written declaration that the employee is fully fit for work at the time of commencement.</w:t>
      </w:r>
    </w:p>
    <w:p w14:paraId="37BDE7DC" w14:textId="28BA7E35" w:rsidR="00253B1F" w:rsidRDefault="00253B1F" w:rsidP="003247B0">
      <w:pPr>
        <w:pStyle w:val="Brdtekst"/>
        <w:spacing w:before="82"/>
        <w:ind w:left="11" w:right="130"/>
        <w:rPr>
          <w:rFonts w:ascii="Work Sans" w:hAnsi="Work Sans"/>
        </w:rPr>
      </w:pPr>
      <w:r w:rsidRPr="00253B1F">
        <w:rPr>
          <w:rFonts w:ascii="Work Sans" w:hAnsi="Work Sans"/>
        </w:rPr>
        <w:br/>
        <w:t xml:space="preserve">The company is not liable for loss of license within two years after the liability commenced, if such loss is due to illness, defect, or infirmity that the insured had at that time and which must be assumed to have been known by the insured, cf. </w:t>
      </w:r>
      <w:r>
        <w:rPr>
          <w:rFonts w:ascii="Work Sans" w:hAnsi="Work Sans"/>
        </w:rPr>
        <w:t xml:space="preserve">section </w:t>
      </w:r>
      <w:r w:rsidRPr="00253B1F">
        <w:rPr>
          <w:rFonts w:ascii="Work Sans" w:hAnsi="Work Sans"/>
        </w:rPr>
        <w:t>19-10</w:t>
      </w:r>
      <w:r>
        <w:rPr>
          <w:rFonts w:ascii="Work Sans" w:hAnsi="Work Sans"/>
        </w:rPr>
        <w:t xml:space="preserve"> of the Norwegian </w:t>
      </w:r>
      <w:r w:rsidRPr="00561A19">
        <w:rPr>
          <w:rFonts w:ascii="Work Sans" w:hAnsi="Work Sans"/>
        </w:rPr>
        <w:t>Insurance Contract</w:t>
      </w:r>
      <w:r>
        <w:rPr>
          <w:rFonts w:ascii="Work Sans" w:hAnsi="Work Sans"/>
        </w:rPr>
        <w:t>s</w:t>
      </w:r>
      <w:r w:rsidRPr="00561A19">
        <w:rPr>
          <w:rFonts w:ascii="Work Sans" w:hAnsi="Work Sans"/>
        </w:rPr>
        <w:t xml:space="preserve"> Act</w:t>
      </w:r>
      <w:r w:rsidRPr="00253B1F">
        <w:rPr>
          <w:rFonts w:ascii="Work Sans" w:hAnsi="Work Sans"/>
        </w:rPr>
        <w:t>.</w:t>
      </w:r>
    </w:p>
    <w:p w14:paraId="4C97EB9B" w14:textId="77777777" w:rsidR="002E6F5A" w:rsidRPr="003247B0" w:rsidRDefault="002E6F5A" w:rsidP="00AE71BE">
      <w:pPr>
        <w:pStyle w:val="Brdtekst"/>
        <w:ind w:left="0"/>
        <w:rPr>
          <w:rFonts w:ascii="Work Sans" w:hAnsi="Work Sans"/>
        </w:rPr>
      </w:pPr>
    </w:p>
    <w:p w14:paraId="22DDB079" w14:textId="63C9D0C4" w:rsidR="003247B0" w:rsidRPr="00AE71BE" w:rsidRDefault="003247B0" w:rsidP="00AE71BE">
      <w:pPr>
        <w:pStyle w:val="Overskrift1"/>
        <w:numPr>
          <w:ilvl w:val="0"/>
          <w:numId w:val="2"/>
        </w:numPr>
        <w:tabs>
          <w:tab w:val="left" w:pos="1007"/>
        </w:tabs>
        <w:ind w:left="368" w:hanging="357"/>
        <w:rPr>
          <w:rFonts w:ascii="Work Sans" w:hAnsi="Work Sans"/>
        </w:rPr>
      </w:pPr>
      <w:r w:rsidRPr="003247B0">
        <w:rPr>
          <w:rFonts w:ascii="Work Sans" w:hAnsi="Work Sans"/>
        </w:rPr>
        <w:t xml:space="preserve">What is to </w:t>
      </w:r>
      <w:r w:rsidRPr="003247B0">
        <w:rPr>
          <w:rFonts w:ascii="Work Sans" w:hAnsi="Work Sans"/>
          <w:spacing w:val="-2"/>
        </w:rPr>
        <w:t>be compensate</w:t>
      </w:r>
      <w:r w:rsidR="00AE71BE">
        <w:rPr>
          <w:rFonts w:ascii="Work Sans" w:hAnsi="Work Sans"/>
          <w:spacing w:val="-2"/>
        </w:rPr>
        <w:t>d</w:t>
      </w:r>
    </w:p>
    <w:p w14:paraId="71DE16A1" w14:textId="1C87B8B2" w:rsidR="002E6F5A" w:rsidRPr="004D09E6" w:rsidRDefault="00AE71BE" w:rsidP="003247B0">
      <w:pPr>
        <w:pStyle w:val="Brdtekst"/>
        <w:spacing w:before="82"/>
        <w:ind w:left="11" w:right="130"/>
        <w:rPr>
          <w:rFonts w:ascii="Work Sans" w:hAnsi="Work Sans"/>
        </w:rPr>
      </w:pPr>
      <w:r>
        <w:rPr>
          <w:rFonts w:ascii="Work Sans" w:hAnsi="Work Sans"/>
        </w:rPr>
        <w:br/>
      </w:r>
      <w:r w:rsidR="003247B0" w:rsidRPr="004D09E6">
        <w:rPr>
          <w:rFonts w:ascii="Work Sans" w:hAnsi="Work Sans"/>
        </w:rPr>
        <w:t xml:space="preserve">Compensation for loss of health certificate is paid </w:t>
      </w:r>
      <w:r w:rsidRPr="004D09E6">
        <w:rPr>
          <w:rFonts w:ascii="Work Sans" w:hAnsi="Work Sans"/>
        </w:rPr>
        <w:t>based on</w:t>
      </w:r>
      <w:r w:rsidR="003247B0" w:rsidRPr="004D09E6">
        <w:rPr>
          <w:rFonts w:ascii="Work Sans" w:hAnsi="Work Sans"/>
        </w:rPr>
        <w:t xml:space="preserve"> the agreed sum insured as stated in the policyholder's insurance certificate. Compensation is calculated </w:t>
      </w:r>
      <w:r w:rsidRPr="004D09E6">
        <w:rPr>
          <w:rFonts w:ascii="Work Sans" w:hAnsi="Work Sans"/>
        </w:rPr>
        <w:t>based on</w:t>
      </w:r>
      <w:r w:rsidR="003247B0" w:rsidRPr="004D09E6">
        <w:rPr>
          <w:rFonts w:ascii="Work Sans" w:hAnsi="Work Sans"/>
        </w:rPr>
        <w:t xml:space="preserve"> the insured person's age and G (the basic amount under the National Insurance Scheme) at the time the insured event occurred.</w:t>
      </w:r>
    </w:p>
    <w:p w14:paraId="701721FC" w14:textId="77777777" w:rsidR="002E6F5A" w:rsidRPr="004D09E6" w:rsidRDefault="003247B0" w:rsidP="003247B0">
      <w:pPr>
        <w:pStyle w:val="Brdtekst"/>
        <w:spacing w:before="82"/>
        <w:ind w:left="11" w:right="130"/>
        <w:rPr>
          <w:rFonts w:ascii="Work Sans" w:hAnsi="Work Sans"/>
        </w:rPr>
      </w:pPr>
      <w:r w:rsidRPr="004D09E6">
        <w:rPr>
          <w:rFonts w:ascii="Work Sans" w:hAnsi="Work Sans"/>
        </w:rPr>
        <w:t>If the insured person is over 50 years of age at the time of the insured event, compensation shall be paid according to the following scale:</w:t>
      </w:r>
    </w:p>
    <w:p w14:paraId="427FB85B" w14:textId="77777777" w:rsidR="002E6F5A" w:rsidRPr="003247B0" w:rsidRDefault="002E6F5A" w:rsidP="003247B0">
      <w:pPr>
        <w:pStyle w:val="Brdtekst"/>
        <w:ind w:left="368" w:hanging="357"/>
        <w:rPr>
          <w:rFonts w:ascii="Work Sans" w:hAnsi="Work Sans"/>
        </w:rPr>
      </w:pPr>
    </w:p>
    <w:p w14:paraId="38D065FB" w14:textId="77777777" w:rsidR="002E6F5A" w:rsidRPr="003247B0" w:rsidRDefault="002E6F5A" w:rsidP="003247B0">
      <w:pPr>
        <w:pStyle w:val="Brdtekst"/>
        <w:ind w:left="368" w:hanging="357"/>
        <w:rPr>
          <w:rFonts w:ascii="Work Sans" w:hAnsi="Work Sans"/>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3"/>
        <w:gridCol w:w="3161"/>
      </w:tblGrid>
      <w:tr w:rsidR="002E6F5A" w:rsidRPr="003247B0" w14:paraId="661C0252" w14:textId="77777777" w:rsidTr="003247B0">
        <w:trPr>
          <w:trHeight w:val="460"/>
        </w:trPr>
        <w:tc>
          <w:tcPr>
            <w:tcW w:w="1903" w:type="dxa"/>
            <w:shd w:val="clear" w:color="auto" w:fill="252E9E"/>
          </w:tcPr>
          <w:p w14:paraId="2DE52FBE" w14:textId="77777777" w:rsidR="002E6F5A" w:rsidRPr="003247B0" w:rsidRDefault="003247B0" w:rsidP="003247B0">
            <w:pPr>
              <w:pStyle w:val="TableParagraph"/>
              <w:spacing w:line="240" w:lineRule="auto"/>
              <w:ind w:left="368" w:right="0" w:hanging="357"/>
              <w:rPr>
                <w:rFonts w:ascii="Work Sans" w:hAnsi="Work Sans"/>
                <w:b/>
                <w:sz w:val="20"/>
              </w:rPr>
            </w:pPr>
            <w:r w:rsidRPr="003247B0">
              <w:rPr>
                <w:rFonts w:ascii="Work Sans" w:hAnsi="Work Sans"/>
                <w:b/>
                <w:color w:val="FFFFFF"/>
                <w:spacing w:val="-2"/>
                <w:sz w:val="20"/>
              </w:rPr>
              <w:t>Age</w:t>
            </w:r>
          </w:p>
        </w:tc>
        <w:tc>
          <w:tcPr>
            <w:tcW w:w="3161" w:type="dxa"/>
            <w:shd w:val="clear" w:color="auto" w:fill="252E9E"/>
          </w:tcPr>
          <w:p w14:paraId="4C655288" w14:textId="77777777" w:rsidR="002E6F5A" w:rsidRPr="003247B0" w:rsidRDefault="003247B0" w:rsidP="003247B0">
            <w:pPr>
              <w:pStyle w:val="TableParagraph"/>
              <w:spacing w:line="240" w:lineRule="auto"/>
              <w:ind w:left="368" w:right="154" w:hanging="357"/>
              <w:rPr>
                <w:rFonts w:ascii="Work Sans" w:hAnsi="Work Sans"/>
                <w:b/>
                <w:sz w:val="20"/>
              </w:rPr>
            </w:pPr>
            <w:r w:rsidRPr="003247B0">
              <w:rPr>
                <w:rFonts w:ascii="Work Sans" w:hAnsi="Work Sans"/>
                <w:b/>
                <w:color w:val="FFFFFF"/>
                <w:sz w:val="20"/>
              </w:rPr>
              <w:t>Benefit in relation to the full sum insured</w:t>
            </w:r>
          </w:p>
        </w:tc>
      </w:tr>
      <w:tr w:rsidR="002E6F5A" w:rsidRPr="003247B0" w14:paraId="7F1F55EB" w14:textId="77777777" w:rsidTr="003247B0">
        <w:trPr>
          <w:trHeight w:val="230"/>
        </w:trPr>
        <w:tc>
          <w:tcPr>
            <w:tcW w:w="1903" w:type="dxa"/>
          </w:tcPr>
          <w:p w14:paraId="5B91F89A" w14:textId="60B9D926"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50</w:t>
            </w:r>
            <w:r w:rsidR="002A2F35">
              <w:rPr>
                <w:rFonts w:ascii="Work Sans" w:hAnsi="Work Sans"/>
                <w:spacing w:val="-5"/>
                <w:sz w:val="20"/>
              </w:rPr>
              <w:t xml:space="preserve"> years</w:t>
            </w:r>
          </w:p>
        </w:tc>
        <w:tc>
          <w:tcPr>
            <w:tcW w:w="3161" w:type="dxa"/>
          </w:tcPr>
          <w:p w14:paraId="09FB0C9B"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4"/>
                <w:sz w:val="20"/>
              </w:rPr>
              <w:t>100</w:t>
            </w:r>
          </w:p>
        </w:tc>
      </w:tr>
      <w:tr w:rsidR="002E6F5A" w:rsidRPr="003247B0" w14:paraId="16647574" w14:textId="77777777" w:rsidTr="003247B0">
        <w:trPr>
          <w:trHeight w:val="230"/>
        </w:trPr>
        <w:tc>
          <w:tcPr>
            <w:tcW w:w="1903" w:type="dxa"/>
          </w:tcPr>
          <w:p w14:paraId="703020BD" w14:textId="763E6413"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51</w:t>
            </w:r>
            <w:r w:rsidR="002A2F35">
              <w:rPr>
                <w:rFonts w:ascii="Work Sans" w:hAnsi="Work Sans"/>
                <w:spacing w:val="-5"/>
                <w:sz w:val="20"/>
              </w:rPr>
              <w:t xml:space="preserve"> years</w:t>
            </w:r>
          </w:p>
        </w:tc>
        <w:tc>
          <w:tcPr>
            <w:tcW w:w="3161" w:type="dxa"/>
          </w:tcPr>
          <w:p w14:paraId="0164E2FB"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90</w:t>
            </w:r>
          </w:p>
        </w:tc>
      </w:tr>
      <w:tr w:rsidR="002E6F5A" w:rsidRPr="003247B0" w14:paraId="6B68B23F" w14:textId="77777777" w:rsidTr="003247B0">
        <w:trPr>
          <w:trHeight w:val="230"/>
        </w:trPr>
        <w:tc>
          <w:tcPr>
            <w:tcW w:w="1903" w:type="dxa"/>
          </w:tcPr>
          <w:p w14:paraId="26FA9472" w14:textId="4AE22D1D"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52</w:t>
            </w:r>
            <w:r w:rsidR="002A2F35">
              <w:rPr>
                <w:rFonts w:ascii="Work Sans" w:hAnsi="Work Sans"/>
                <w:spacing w:val="-5"/>
                <w:sz w:val="20"/>
              </w:rPr>
              <w:t xml:space="preserve"> years</w:t>
            </w:r>
          </w:p>
        </w:tc>
        <w:tc>
          <w:tcPr>
            <w:tcW w:w="3161" w:type="dxa"/>
          </w:tcPr>
          <w:p w14:paraId="761DAC52"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85</w:t>
            </w:r>
          </w:p>
        </w:tc>
      </w:tr>
      <w:tr w:rsidR="002E6F5A" w:rsidRPr="003247B0" w14:paraId="745B10F2" w14:textId="77777777" w:rsidTr="003247B0">
        <w:trPr>
          <w:trHeight w:val="230"/>
        </w:trPr>
        <w:tc>
          <w:tcPr>
            <w:tcW w:w="1903" w:type="dxa"/>
          </w:tcPr>
          <w:p w14:paraId="2A8B0510" w14:textId="565B61A4"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53</w:t>
            </w:r>
            <w:r w:rsidR="002A2F35">
              <w:rPr>
                <w:rFonts w:ascii="Work Sans" w:hAnsi="Work Sans"/>
                <w:spacing w:val="-5"/>
                <w:sz w:val="20"/>
              </w:rPr>
              <w:t xml:space="preserve"> years</w:t>
            </w:r>
          </w:p>
        </w:tc>
        <w:tc>
          <w:tcPr>
            <w:tcW w:w="3161" w:type="dxa"/>
          </w:tcPr>
          <w:p w14:paraId="324DF920"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80</w:t>
            </w:r>
          </w:p>
        </w:tc>
      </w:tr>
      <w:tr w:rsidR="002E6F5A" w:rsidRPr="003247B0" w14:paraId="09DDCE0C" w14:textId="77777777" w:rsidTr="003247B0">
        <w:trPr>
          <w:trHeight w:val="230"/>
        </w:trPr>
        <w:tc>
          <w:tcPr>
            <w:tcW w:w="1903" w:type="dxa"/>
          </w:tcPr>
          <w:p w14:paraId="64A60953" w14:textId="2D41CE60"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54</w:t>
            </w:r>
            <w:r w:rsidR="002A2F35">
              <w:rPr>
                <w:rFonts w:ascii="Work Sans" w:hAnsi="Work Sans"/>
                <w:spacing w:val="-5"/>
                <w:sz w:val="20"/>
              </w:rPr>
              <w:t xml:space="preserve"> years</w:t>
            </w:r>
          </w:p>
        </w:tc>
        <w:tc>
          <w:tcPr>
            <w:tcW w:w="3161" w:type="dxa"/>
          </w:tcPr>
          <w:p w14:paraId="50C0A744"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75</w:t>
            </w:r>
          </w:p>
        </w:tc>
      </w:tr>
      <w:tr w:rsidR="002E6F5A" w:rsidRPr="003247B0" w14:paraId="1961D19F" w14:textId="77777777" w:rsidTr="003247B0">
        <w:trPr>
          <w:trHeight w:val="230"/>
        </w:trPr>
        <w:tc>
          <w:tcPr>
            <w:tcW w:w="1903" w:type="dxa"/>
          </w:tcPr>
          <w:p w14:paraId="1D365CE1" w14:textId="4CA20014"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55</w:t>
            </w:r>
            <w:r w:rsidR="002A2F35">
              <w:rPr>
                <w:rFonts w:ascii="Work Sans" w:hAnsi="Work Sans"/>
                <w:spacing w:val="-5"/>
                <w:sz w:val="20"/>
              </w:rPr>
              <w:t xml:space="preserve"> years</w:t>
            </w:r>
          </w:p>
        </w:tc>
        <w:tc>
          <w:tcPr>
            <w:tcW w:w="3161" w:type="dxa"/>
          </w:tcPr>
          <w:p w14:paraId="4995F842" w14:textId="77777777" w:rsidR="002E6F5A" w:rsidRPr="003247B0" w:rsidRDefault="003247B0" w:rsidP="003247B0">
            <w:pPr>
              <w:pStyle w:val="TableParagraph"/>
              <w:spacing w:line="240" w:lineRule="auto"/>
              <w:ind w:left="368" w:right="4" w:hanging="357"/>
              <w:rPr>
                <w:rFonts w:ascii="Work Sans" w:hAnsi="Work Sans"/>
                <w:sz w:val="20"/>
              </w:rPr>
            </w:pPr>
            <w:r w:rsidRPr="003247B0">
              <w:rPr>
                <w:rFonts w:ascii="Work Sans" w:hAnsi="Work Sans"/>
                <w:spacing w:val="-5"/>
                <w:sz w:val="20"/>
              </w:rPr>
              <w:t>65</w:t>
            </w:r>
          </w:p>
        </w:tc>
      </w:tr>
      <w:tr w:rsidR="002E6F5A" w:rsidRPr="003247B0" w14:paraId="12B32555" w14:textId="77777777" w:rsidTr="003247B0">
        <w:trPr>
          <w:trHeight w:val="230"/>
        </w:trPr>
        <w:tc>
          <w:tcPr>
            <w:tcW w:w="1903" w:type="dxa"/>
          </w:tcPr>
          <w:p w14:paraId="58B38BD7" w14:textId="0E6E9BAA"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56</w:t>
            </w:r>
            <w:r w:rsidR="002A2F35">
              <w:rPr>
                <w:rFonts w:ascii="Work Sans" w:hAnsi="Work Sans"/>
                <w:spacing w:val="-5"/>
                <w:sz w:val="20"/>
              </w:rPr>
              <w:t xml:space="preserve"> years</w:t>
            </w:r>
          </w:p>
        </w:tc>
        <w:tc>
          <w:tcPr>
            <w:tcW w:w="3161" w:type="dxa"/>
          </w:tcPr>
          <w:p w14:paraId="7B089117" w14:textId="77777777" w:rsidR="002E6F5A" w:rsidRPr="003247B0" w:rsidRDefault="003247B0" w:rsidP="003247B0">
            <w:pPr>
              <w:pStyle w:val="TableParagraph"/>
              <w:spacing w:line="240" w:lineRule="auto"/>
              <w:ind w:left="368" w:right="4" w:hanging="357"/>
              <w:rPr>
                <w:rFonts w:ascii="Work Sans" w:hAnsi="Work Sans"/>
                <w:sz w:val="20"/>
              </w:rPr>
            </w:pPr>
            <w:r w:rsidRPr="003247B0">
              <w:rPr>
                <w:rFonts w:ascii="Work Sans" w:hAnsi="Work Sans"/>
                <w:spacing w:val="-5"/>
                <w:sz w:val="20"/>
              </w:rPr>
              <w:t>50</w:t>
            </w:r>
          </w:p>
        </w:tc>
      </w:tr>
      <w:tr w:rsidR="002E6F5A" w:rsidRPr="003247B0" w14:paraId="5925B128" w14:textId="77777777" w:rsidTr="003247B0">
        <w:trPr>
          <w:trHeight w:val="230"/>
        </w:trPr>
        <w:tc>
          <w:tcPr>
            <w:tcW w:w="1903" w:type="dxa"/>
          </w:tcPr>
          <w:p w14:paraId="7DABD8A9" w14:textId="4875329A"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57</w:t>
            </w:r>
            <w:r w:rsidR="002A2F35">
              <w:rPr>
                <w:rFonts w:ascii="Work Sans" w:hAnsi="Work Sans"/>
                <w:spacing w:val="-5"/>
                <w:sz w:val="20"/>
              </w:rPr>
              <w:t xml:space="preserve"> years</w:t>
            </w:r>
          </w:p>
        </w:tc>
        <w:tc>
          <w:tcPr>
            <w:tcW w:w="3161" w:type="dxa"/>
          </w:tcPr>
          <w:p w14:paraId="44A3C0BB" w14:textId="77777777" w:rsidR="002E6F5A" w:rsidRPr="003247B0" w:rsidRDefault="003247B0" w:rsidP="003247B0">
            <w:pPr>
              <w:pStyle w:val="TableParagraph"/>
              <w:spacing w:line="240" w:lineRule="auto"/>
              <w:ind w:left="368" w:right="4" w:hanging="357"/>
              <w:rPr>
                <w:rFonts w:ascii="Work Sans" w:hAnsi="Work Sans"/>
                <w:sz w:val="20"/>
              </w:rPr>
            </w:pPr>
            <w:r w:rsidRPr="003247B0">
              <w:rPr>
                <w:rFonts w:ascii="Work Sans" w:hAnsi="Work Sans"/>
                <w:spacing w:val="-5"/>
                <w:sz w:val="20"/>
              </w:rPr>
              <w:t>20</w:t>
            </w:r>
          </w:p>
        </w:tc>
      </w:tr>
      <w:tr w:rsidR="002E6F5A" w:rsidRPr="003247B0" w14:paraId="6E16B982" w14:textId="77777777" w:rsidTr="003247B0">
        <w:trPr>
          <w:trHeight w:val="230"/>
        </w:trPr>
        <w:tc>
          <w:tcPr>
            <w:tcW w:w="1903" w:type="dxa"/>
          </w:tcPr>
          <w:p w14:paraId="160A229A" w14:textId="049388DA"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58</w:t>
            </w:r>
            <w:r w:rsidR="002A2F35">
              <w:rPr>
                <w:rFonts w:ascii="Work Sans" w:hAnsi="Work Sans"/>
                <w:spacing w:val="-5"/>
                <w:sz w:val="20"/>
              </w:rPr>
              <w:t xml:space="preserve"> years</w:t>
            </w:r>
          </w:p>
        </w:tc>
        <w:tc>
          <w:tcPr>
            <w:tcW w:w="3161" w:type="dxa"/>
          </w:tcPr>
          <w:p w14:paraId="1DDE23F9" w14:textId="77777777" w:rsidR="002E6F5A" w:rsidRPr="003247B0" w:rsidRDefault="003247B0" w:rsidP="003247B0">
            <w:pPr>
              <w:pStyle w:val="TableParagraph"/>
              <w:spacing w:line="240" w:lineRule="auto"/>
              <w:ind w:left="368" w:right="0" w:hanging="357"/>
              <w:rPr>
                <w:rFonts w:ascii="Work Sans" w:hAnsi="Work Sans"/>
                <w:sz w:val="20"/>
              </w:rPr>
            </w:pPr>
            <w:r w:rsidRPr="003247B0">
              <w:rPr>
                <w:rFonts w:ascii="Work Sans" w:hAnsi="Work Sans"/>
                <w:spacing w:val="-5"/>
                <w:sz w:val="20"/>
              </w:rPr>
              <w:t>0</w:t>
            </w:r>
          </w:p>
        </w:tc>
      </w:tr>
    </w:tbl>
    <w:p w14:paraId="78D796F3" w14:textId="77777777" w:rsidR="002E6F5A" w:rsidRPr="003247B0" w:rsidRDefault="002E6F5A" w:rsidP="003247B0">
      <w:pPr>
        <w:pStyle w:val="Brdtekst"/>
        <w:ind w:left="368" w:hanging="357"/>
        <w:rPr>
          <w:rFonts w:ascii="Work Sans" w:hAnsi="Work Sans"/>
        </w:rPr>
      </w:pPr>
    </w:p>
    <w:p w14:paraId="01C6E9AF" w14:textId="77777777" w:rsidR="002E6F5A" w:rsidRPr="003247B0" w:rsidRDefault="003247B0" w:rsidP="003247B0">
      <w:pPr>
        <w:pStyle w:val="Brdtekst"/>
        <w:ind w:left="368" w:hanging="357"/>
        <w:rPr>
          <w:rFonts w:ascii="Work Sans" w:hAnsi="Work Sans"/>
        </w:rPr>
      </w:pPr>
      <w:r w:rsidRPr="003247B0">
        <w:rPr>
          <w:rFonts w:ascii="Work Sans" w:hAnsi="Work Sans"/>
        </w:rPr>
        <w:t>For pensionable service (employment) of less than 5 years</w:t>
      </w:r>
      <w:r w:rsidRPr="003247B0">
        <w:rPr>
          <w:rFonts w:ascii="Work Sans" w:hAnsi="Work Sans"/>
          <w:spacing w:val="-2"/>
        </w:rPr>
        <w:t xml:space="preserve">, the compensation </w:t>
      </w:r>
      <w:r w:rsidRPr="003247B0">
        <w:rPr>
          <w:rFonts w:ascii="Work Sans" w:hAnsi="Work Sans"/>
        </w:rPr>
        <w:t>is reduced</w:t>
      </w:r>
      <w:r w:rsidRPr="003247B0">
        <w:rPr>
          <w:rFonts w:ascii="Work Sans" w:hAnsi="Work Sans"/>
          <w:spacing w:val="-2"/>
        </w:rPr>
        <w:t>:</w:t>
      </w:r>
    </w:p>
    <w:p w14:paraId="46FF865C" w14:textId="77777777" w:rsidR="002E6F5A" w:rsidRPr="003247B0" w:rsidRDefault="002E6F5A" w:rsidP="003247B0">
      <w:pPr>
        <w:pStyle w:val="Brdtekst"/>
        <w:ind w:left="368" w:hanging="357"/>
        <w:rPr>
          <w:rFonts w:ascii="Work Sans" w:hAnsi="Work Sans"/>
          <w:sz w:val="15"/>
        </w:rPr>
      </w:pP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3"/>
        <w:gridCol w:w="3161"/>
      </w:tblGrid>
      <w:tr w:rsidR="002E6F5A" w:rsidRPr="003247B0" w14:paraId="60EDD685" w14:textId="77777777" w:rsidTr="003247B0">
        <w:trPr>
          <w:trHeight w:val="460"/>
        </w:trPr>
        <w:tc>
          <w:tcPr>
            <w:tcW w:w="1903" w:type="dxa"/>
            <w:shd w:val="clear" w:color="auto" w:fill="252E9E"/>
          </w:tcPr>
          <w:p w14:paraId="53D26292" w14:textId="77777777" w:rsidR="002E6F5A" w:rsidRPr="003247B0" w:rsidRDefault="003247B0" w:rsidP="003247B0">
            <w:pPr>
              <w:pStyle w:val="TableParagraph"/>
              <w:spacing w:line="240" w:lineRule="auto"/>
              <w:ind w:left="368" w:right="1" w:hanging="357"/>
              <w:rPr>
                <w:rFonts w:ascii="Work Sans" w:hAnsi="Work Sans"/>
                <w:b/>
                <w:sz w:val="20"/>
              </w:rPr>
            </w:pPr>
            <w:r w:rsidRPr="003247B0">
              <w:rPr>
                <w:rFonts w:ascii="Work Sans" w:hAnsi="Work Sans"/>
                <w:b/>
                <w:color w:val="FFFFFF"/>
                <w:sz w:val="20"/>
              </w:rPr>
              <w:t xml:space="preserve">Number of years of </w:t>
            </w:r>
            <w:r w:rsidRPr="003247B0">
              <w:rPr>
                <w:rFonts w:ascii="Work Sans" w:hAnsi="Work Sans"/>
                <w:b/>
                <w:color w:val="FFFFFF"/>
                <w:spacing w:val="-2"/>
                <w:sz w:val="20"/>
              </w:rPr>
              <w:t>service</w:t>
            </w:r>
          </w:p>
        </w:tc>
        <w:tc>
          <w:tcPr>
            <w:tcW w:w="3161" w:type="dxa"/>
            <w:shd w:val="clear" w:color="auto" w:fill="252E9E"/>
          </w:tcPr>
          <w:p w14:paraId="491C6224" w14:textId="77777777" w:rsidR="002E6F5A" w:rsidRPr="003247B0" w:rsidRDefault="003247B0" w:rsidP="003247B0">
            <w:pPr>
              <w:pStyle w:val="TableParagraph"/>
              <w:spacing w:line="240" w:lineRule="auto"/>
              <w:ind w:left="368" w:right="154" w:hanging="357"/>
              <w:rPr>
                <w:rFonts w:ascii="Work Sans" w:hAnsi="Work Sans"/>
                <w:b/>
                <w:sz w:val="20"/>
              </w:rPr>
            </w:pPr>
            <w:r w:rsidRPr="003247B0">
              <w:rPr>
                <w:rFonts w:ascii="Work Sans" w:hAnsi="Work Sans"/>
                <w:b/>
                <w:color w:val="FFFFFF"/>
                <w:sz w:val="20"/>
              </w:rPr>
              <w:t xml:space="preserve">Percentage of </w:t>
            </w:r>
            <w:r w:rsidRPr="003247B0">
              <w:rPr>
                <w:rFonts w:ascii="Work Sans" w:hAnsi="Work Sans"/>
                <w:b/>
                <w:color w:val="FFFFFF"/>
                <w:spacing w:val="-2"/>
                <w:sz w:val="20"/>
              </w:rPr>
              <w:t>insurance sum</w:t>
            </w:r>
          </w:p>
        </w:tc>
      </w:tr>
      <w:tr w:rsidR="002E6F5A" w:rsidRPr="003247B0" w14:paraId="707109B3" w14:textId="77777777" w:rsidTr="003247B0">
        <w:trPr>
          <w:trHeight w:val="230"/>
        </w:trPr>
        <w:tc>
          <w:tcPr>
            <w:tcW w:w="1903" w:type="dxa"/>
          </w:tcPr>
          <w:p w14:paraId="1F4B852F" w14:textId="77777777" w:rsidR="002E6F5A" w:rsidRPr="003247B0" w:rsidRDefault="003247B0" w:rsidP="003247B0">
            <w:pPr>
              <w:pStyle w:val="TableParagraph"/>
              <w:spacing w:line="240" w:lineRule="auto"/>
              <w:ind w:left="368" w:right="1" w:hanging="357"/>
              <w:rPr>
                <w:rFonts w:ascii="Work Sans" w:hAnsi="Work Sans"/>
                <w:sz w:val="20"/>
              </w:rPr>
            </w:pPr>
            <w:r w:rsidRPr="003247B0">
              <w:rPr>
                <w:rFonts w:ascii="Work Sans" w:hAnsi="Work Sans"/>
                <w:sz w:val="20"/>
              </w:rPr>
              <w:t xml:space="preserve">1 year of </w:t>
            </w:r>
            <w:r w:rsidRPr="003247B0">
              <w:rPr>
                <w:rFonts w:ascii="Work Sans" w:hAnsi="Work Sans"/>
                <w:spacing w:val="-2"/>
                <w:sz w:val="20"/>
              </w:rPr>
              <w:t>service</w:t>
            </w:r>
          </w:p>
        </w:tc>
        <w:tc>
          <w:tcPr>
            <w:tcW w:w="3161" w:type="dxa"/>
          </w:tcPr>
          <w:p w14:paraId="2F411FE3" w14:textId="6376F0A6"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20</w:t>
            </w:r>
            <w:r w:rsidR="003421FB">
              <w:rPr>
                <w:rFonts w:ascii="Work Sans" w:hAnsi="Work Sans"/>
                <w:spacing w:val="-5"/>
                <w:sz w:val="20"/>
              </w:rPr>
              <w:t>%</w:t>
            </w:r>
          </w:p>
        </w:tc>
      </w:tr>
      <w:tr w:rsidR="002E6F5A" w:rsidRPr="003247B0" w14:paraId="76CE021F" w14:textId="77777777" w:rsidTr="003247B0">
        <w:trPr>
          <w:trHeight w:val="230"/>
        </w:trPr>
        <w:tc>
          <w:tcPr>
            <w:tcW w:w="1903" w:type="dxa"/>
          </w:tcPr>
          <w:p w14:paraId="3B8E07BF" w14:textId="77777777" w:rsidR="002E6F5A" w:rsidRPr="003247B0" w:rsidRDefault="003247B0" w:rsidP="003247B0">
            <w:pPr>
              <w:pStyle w:val="TableParagraph"/>
              <w:spacing w:line="240" w:lineRule="auto"/>
              <w:ind w:left="368" w:right="2" w:hanging="357"/>
              <w:rPr>
                <w:rFonts w:ascii="Work Sans" w:hAnsi="Work Sans"/>
                <w:sz w:val="20"/>
              </w:rPr>
            </w:pPr>
            <w:r w:rsidRPr="003247B0">
              <w:rPr>
                <w:rFonts w:ascii="Work Sans" w:hAnsi="Work Sans"/>
                <w:sz w:val="20"/>
              </w:rPr>
              <w:t xml:space="preserve">2 years of </w:t>
            </w:r>
            <w:r w:rsidRPr="003247B0">
              <w:rPr>
                <w:rFonts w:ascii="Work Sans" w:hAnsi="Work Sans"/>
                <w:spacing w:val="-2"/>
                <w:sz w:val="20"/>
              </w:rPr>
              <w:t>service</w:t>
            </w:r>
          </w:p>
        </w:tc>
        <w:tc>
          <w:tcPr>
            <w:tcW w:w="3161" w:type="dxa"/>
          </w:tcPr>
          <w:p w14:paraId="52CBFDA2" w14:textId="64FAEA71"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40</w:t>
            </w:r>
            <w:r w:rsidR="003421FB">
              <w:rPr>
                <w:rFonts w:ascii="Work Sans" w:hAnsi="Work Sans"/>
                <w:spacing w:val="-5"/>
                <w:sz w:val="20"/>
              </w:rPr>
              <w:t>%</w:t>
            </w:r>
          </w:p>
        </w:tc>
      </w:tr>
      <w:tr w:rsidR="002E6F5A" w:rsidRPr="003247B0" w14:paraId="1B8FEF73" w14:textId="77777777" w:rsidTr="003247B0">
        <w:trPr>
          <w:trHeight w:val="230"/>
        </w:trPr>
        <w:tc>
          <w:tcPr>
            <w:tcW w:w="1903" w:type="dxa"/>
          </w:tcPr>
          <w:p w14:paraId="58344A09" w14:textId="77777777" w:rsidR="002E6F5A" w:rsidRPr="003247B0" w:rsidRDefault="003247B0" w:rsidP="003247B0">
            <w:pPr>
              <w:pStyle w:val="TableParagraph"/>
              <w:spacing w:line="240" w:lineRule="auto"/>
              <w:ind w:left="368" w:right="2" w:hanging="357"/>
              <w:rPr>
                <w:rFonts w:ascii="Work Sans" w:hAnsi="Work Sans"/>
                <w:sz w:val="20"/>
              </w:rPr>
            </w:pPr>
            <w:r w:rsidRPr="003247B0">
              <w:rPr>
                <w:rFonts w:ascii="Work Sans" w:hAnsi="Work Sans"/>
                <w:sz w:val="20"/>
              </w:rPr>
              <w:t xml:space="preserve">3 years of </w:t>
            </w:r>
            <w:r w:rsidRPr="003247B0">
              <w:rPr>
                <w:rFonts w:ascii="Work Sans" w:hAnsi="Work Sans"/>
                <w:spacing w:val="-2"/>
                <w:sz w:val="20"/>
              </w:rPr>
              <w:t>service</w:t>
            </w:r>
          </w:p>
        </w:tc>
        <w:tc>
          <w:tcPr>
            <w:tcW w:w="3161" w:type="dxa"/>
          </w:tcPr>
          <w:p w14:paraId="69090EF6" w14:textId="0900DE9A"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60</w:t>
            </w:r>
            <w:r w:rsidR="003421FB">
              <w:rPr>
                <w:rFonts w:ascii="Work Sans" w:hAnsi="Work Sans"/>
                <w:spacing w:val="-5"/>
                <w:sz w:val="20"/>
              </w:rPr>
              <w:t>%</w:t>
            </w:r>
          </w:p>
        </w:tc>
      </w:tr>
      <w:tr w:rsidR="002E6F5A" w:rsidRPr="003247B0" w14:paraId="3A37D273" w14:textId="77777777" w:rsidTr="003247B0">
        <w:trPr>
          <w:trHeight w:val="230"/>
        </w:trPr>
        <w:tc>
          <w:tcPr>
            <w:tcW w:w="1903" w:type="dxa"/>
          </w:tcPr>
          <w:p w14:paraId="7BE1E0D2" w14:textId="77777777" w:rsidR="002E6F5A" w:rsidRPr="003247B0" w:rsidRDefault="003247B0" w:rsidP="003247B0">
            <w:pPr>
              <w:pStyle w:val="TableParagraph"/>
              <w:spacing w:line="240" w:lineRule="auto"/>
              <w:ind w:left="368" w:right="2" w:hanging="357"/>
              <w:rPr>
                <w:rFonts w:ascii="Work Sans" w:hAnsi="Work Sans"/>
                <w:sz w:val="20"/>
              </w:rPr>
            </w:pPr>
            <w:r w:rsidRPr="003247B0">
              <w:rPr>
                <w:rFonts w:ascii="Work Sans" w:hAnsi="Work Sans"/>
                <w:sz w:val="20"/>
              </w:rPr>
              <w:t xml:space="preserve">4 years of </w:t>
            </w:r>
            <w:r w:rsidRPr="003247B0">
              <w:rPr>
                <w:rFonts w:ascii="Work Sans" w:hAnsi="Work Sans"/>
                <w:spacing w:val="-2"/>
                <w:sz w:val="20"/>
              </w:rPr>
              <w:t>service</w:t>
            </w:r>
          </w:p>
        </w:tc>
        <w:tc>
          <w:tcPr>
            <w:tcW w:w="3161" w:type="dxa"/>
          </w:tcPr>
          <w:p w14:paraId="237AD486" w14:textId="01685C7E"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5"/>
                <w:sz w:val="20"/>
              </w:rPr>
              <w:t>80</w:t>
            </w:r>
            <w:r w:rsidR="003421FB">
              <w:rPr>
                <w:rFonts w:ascii="Work Sans" w:hAnsi="Work Sans"/>
                <w:spacing w:val="-5"/>
                <w:sz w:val="20"/>
              </w:rPr>
              <w:t>%</w:t>
            </w:r>
          </w:p>
        </w:tc>
      </w:tr>
      <w:tr w:rsidR="002E6F5A" w:rsidRPr="003247B0" w14:paraId="4AC5C96A" w14:textId="77777777" w:rsidTr="003247B0">
        <w:trPr>
          <w:trHeight w:val="230"/>
        </w:trPr>
        <w:tc>
          <w:tcPr>
            <w:tcW w:w="1903" w:type="dxa"/>
          </w:tcPr>
          <w:p w14:paraId="0A916158" w14:textId="77777777" w:rsidR="002E6F5A" w:rsidRPr="003247B0" w:rsidRDefault="003247B0" w:rsidP="003247B0">
            <w:pPr>
              <w:pStyle w:val="TableParagraph"/>
              <w:spacing w:line="240" w:lineRule="auto"/>
              <w:ind w:left="368" w:right="2" w:hanging="357"/>
              <w:rPr>
                <w:rFonts w:ascii="Work Sans" w:hAnsi="Work Sans"/>
                <w:sz w:val="20"/>
              </w:rPr>
            </w:pPr>
            <w:r w:rsidRPr="003247B0">
              <w:rPr>
                <w:rFonts w:ascii="Work Sans" w:hAnsi="Work Sans"/>
                <w:sz w:val="20"/>
              </w:rPr>
              <w:t xml:space="preserve">5 years of </w:t>
            </w:r>
            <w:r w:rsidRPr="003247B0">
              <w:rPr>
                <w:rFonts w:ascii="Work Sans" w:hAnsi="Work Sans"/>
                <w:spacing w:val="-2"/>
                <w:sz w:val="20"/>
              </w:rPr>
              <w:t>service</w:t>
            </w:r>
          </w:p>
        </w:tc>
        <w:tc>
          <w:tcPr>
            <w:tcW w:w="3161" w:type="dxa"/>
          </w:tcPr>
          <w:p w14:paraId="06501F1A" w14:textId="77777777" w:rsidR="002E6F5A" w:rsidRPr="003247B0" w:rsidRDefault="003247B0" w:rsidP="003247B0">
            <w:pPr>
              <w:pStyle w:val="TableParagraph"/>
              <w:spacing w:line="240" w:lineRule="auto"/>
              <w:ind w:left="368" w:hanging="357"/>
              <w:rPr>
                <w:rFonts w:ascii="Work Sans" w:hAnsi="Work Sans"/>
                <w:sz w:val="20"/>
              </w:rPr>
            </w:pPr>
            <w:r w:rsidRPr="003247B0">
              <w:rPr>
                <w:rFonts w:ascii="Work Sans" w:hAnsi="Work Sans"/>
                <w:spacing w:val="-4"/>
                <w:sz w:val="20"/>
              </w:rPr>
              <w:t>100%</w:t>
            </w:r>
          </w:p>
        </w:tc>
      </w:tr>
    </w:tbl>
    <w:p w14:paraId="20CCBE5A" w14:textId="77777777" w:rsidR="002E6F5A" w:rsidRPr="003247B0" w:rsidRDefault="002E6F5A" w:rsidP="003247B0">
      <w:pPr>
        <w:pStyle w:val="Brdtekst"/>
        <w:ind w:left="368" w:hanging="357"/>
        <w:rPr>
          <w:rFonts w:ascii="Work Sans" w:hAnsi="Work Sans"/>
        </w:rPr>
      </w:pPr>
    </w:p>
    <w:p w14:paraId="69AF4A2D" w14:textId="77777777" w:rsidR="002E6F5A" w:rsidRPr="001971CD" w:rsidRDefault="003247B0" w:rsidP="003247B0">
      <w:pPr>
        <w:pStyle w:val="Brdtekst"/>
        <w:spacing w:before="82"/>
        <w:ind w:left="11" w:right="130"/>
        <w:rPr>
          <w:rFonts w:ascii="Work Sans" w:hAnsi="Work Sans"/>
        </w:rPr>
      </w:pPr>
      <w:r w:rsidRPr="001971CD">
        <w:rPr>
          <w:rFonts w:ascii="Work Sans" w:hAnsi="Work Sans"/>
        </w:rPr>
        <w:t>In the case of part-time employment, the compensation amount is reduced pro rata in relation to the size of the position in relation to full-time employment.</w:t>
      </w:r>
    </w:p>
    <w:p w14:paraId="75A9023A" w14:textId="77777777" w:rsidR="002E6F5A" w:rsidRPr="003247B0" w:rsidRDefault="002E6F5A" w:rsidP="003247B0">
      <w:pPr>
        <w:pStyle w:val="Brdtekst"/>
        <w:ind w:left="368" w:hanging="357"/>
        <w:rPr>
          <w:rFonts w:ascii="Work Sans" w:hAnsi="Work Sans"/>
        </w:rPr>
      </w:pPr>
    </w:p>
    <w:p w14:paraId="6FC75098" w14:textId="77777777" w:rsidR="002E6F5A" w:rsidRPr="003247B0" w:rsidRDefault="003247B0" w:rsidP="003247B0">
      <w:pPr>
        <w:pStyle w:val="Overskrift1"/>
        <w:numPr>
          <w:ilvl w:val="0"/>
          <w:numId w:val="2"/>
        </w:numPr>
        <w:tabs>
          <w:tab w:val="left" w:pos="1007"/>
        </w:tabs>
        <w:ind w:left="368" w:hanging="357"/>
        <w:rPr>
          <w:rFonts w:ascii="Work Sans" w:hAnsi="Work Sans"/>
        </w:rPr>
      </w:pPr>
      <w:r w:rsidRPr="003247B0">
        <w:rPr>
          <w:rFonts w:ascii="Work Sans" w:hAnsi="Work Sans"/>
        </w:rPr>
        <w:t xml:space="preserve">Exceptions and general conditions for </w:t>
      </w:r>
      <w:r w:rsidRPr="003247B0">
        <w:rPr>
          <w:rFonts w:ascii="Work Sans" w:hAnsi="Work Sans"/>
          <w:spacing w:val="-2"/>
        </w:rPr>
        <w:t xml:space="preserve">the </w:t>
      </w:r>
      <w:r w:rsidRPr="003247B0">
        <w:rPr>
          <w:rFonts w:ascii="Work Sans" w:hAnsi="Work Sans"/>
        </w:rPr>
        <w:t xml:space="preserve">company's </w:t>
      </w:r>
      <w:r w:rsidRPr="003247B0">
        <w:rPr>
          <w:rFonts w:ascii="Work Sans" w:hAnsi="Work Sans"/>
          <w:spacing w:val="-2"/>
        </w:rPr>
        <w:t>liability</w:t>
      </w:r>
    </w:p>
    <w:p w14:paraId="4C6BDC37" w14:textId="77777777" w:rsidR="002E6F5A" w:rsidRPr="003247B0" w:rsidRDefault="003247B0" w:rsidP="003247B0">
      <w:pPr>
        <w:pStyle w:val="Brdtekst"/>
        <w:ind w:left="368" w:hanging="357"/>
        <w:rPr>
          <w:rFonts w:ascii="Work Sans" w:hAnsi="Work Sans"/>
        </w:rPr>
      </w:pPr>
      <w:r w:rsidRPr="003247B0">
        <w:rPr>
          <w:rFonts w:ascii="Work Sans" w:hAnsi="Work Sans"/>
        </w:rPr>
        <w:t xml:space="preserve">The company is not liable for loss of health certificate </w:t>
      </w:r>
      <w:r w:rsidRPr="003247B0">
        <w:rPr>
          <w:rFonts w:ascii="Work Sans" w:hAnsi="Work Sans"/>
          <w:spacing w:val="-4"/>
        </w:rPr>
        <w:t>due to:</w:t>
      </w:r>
    </w:p>
    <w:p w14:paraId="60EC13B4" w14:textId="77777777" w:rsidR="002E6F5A" w:rsidRPr="003421FB" w:rsidRDefault="003247B0" w:rsidP="003421FB">
      <w:pPr>
        <w:pStyle w:val="Listeavsnitt"/>
        <w:numPr>
          <w:ilvl w:val="0"/>
          <w:numId w:val="3"/>
        </w:numPr>
        <w:tabs>
          <w:tab w:val="left" w:pos="581"/>
        </w:tabs>
        <w:ind w:right="578"/>
        <w:rPr>
          <w:rFonts w:ascii="Work Sans" w:hAnsi="Work Sans"/>
          <w:sz w:val="20"/>
        </w:rPr>
      </w:pPr>
      <w:r w:rsidRPr="003421FB">
        <w:rPr>
          <w:rFonts w:ascii="Work Sans" w:hAnsi="Work Sans"/>
          <w:sz w:val="20"/>
        </w:rPr>
        <w:t>illness, disability or injury for which a reservation has been made. This limitation only applies in cases where the insured has submitted a health declaration to the company in connection with enrolment in the scheme, cf. section 3.1.</w:t>
      </w:r>
    </w:p>
    <w:p w14:paraId="5BBCC58B" w14:textId="68702776" w:rsidR="002E6F5A" w:rsidRPr="003421FB" w:rsidRDefault="003247B0" w:rsidP="003421FB">
      <w:pPr>
        <w:pStyle w:val="Listeavsnitt"/>
        <w:numPr>
          <w:ilvl w:val="0"/>
          <w:numId w:val="3"/>
        </w:numPr>
        <w:tabs>
          <w:tab w:val="left" w:pos="581"/>
        </w:tabs>
        <w:ind w:right="543"/>
        <w:rPr>
          <w:rFonts w:ascii="Work Sans" w:hAnsi="Work Sans"/>
          <w:sz w:val="20"/>
        </w:rPr>
      </w:pPr>
      <w:r w:rsidRPr="003421FB">
        <w:rPr>
          <w:rFonts w:ascii="Work Sans" w:hAnsi="Work Sans"/>
          <w:sz w:val="20"/>
        </w:rPr>
        <w:t xml:space="preserve">disability that occurs within two years after the company's liability commenced and is due to illness, disability or injury that the insured had at the </w:t>
      </w:r>
      <w:proofErr w:type="gramStart"/>
      <w:r w:rsidRPr="003421FB">
        <w:rPr>
          <w:rFonts w:ascii="Work Sans" w:hAnsi="Work Sans"/>
          <w:sz w:val="20"/>
        </w:rPr>
        <w:t>time</w:t>
      </w:r>
      <w:proofErr w:type="gramEnd"/>
      <w:r w:rsidRPr="003421FB">
        <w:rPr>
          <w:rFonts w:ascii="Work Sans" w:hAnsi="Work Sans"/>
          <w:sz w:val="20"/>
        </w:rPr>
        <w:t xml:space="preserve"> and </w:t>
      </w:r>
      <w:r w:rsidR="00054AAD" w:rsidRPr="003421FB">
        <w:rPr>
          <w:rFonts w:ascii="Work Sans" w:hAnsi="Work Sans"/>
          <w:sz w:val="20"/>
        </w:rPr>
        <w:t>which</w:t>
      </w:r>
      <w:r w:rsidRPr="003421FB">
        <w:rPr>
          <w:rFonts w:ascii="Work Sans" w:hAnsi="Work Sans"/>
          <w:sz w:val="20"/>
        </w:rPr>
        <w:t xml:space="preserve"> must be assumed that the person concerned was aware of. This limitation only applies in cases where the insured has not submitted a health declaration to the company, cf. section 3.2.</w:t>
      </w:r>
    </w:p>
    <w:p w14:paraId="570DC9B0" w14:textId="77777777" w:rsidR="002E6F5A" w:rsidRPr="003421FB" w:rsidRDefault="003247B0" w:rsidP="003421FB">
      <w:pPr>
        <w:pStyle w:val="Listeavsnitt"/>
        <w:numPr>
          <w:ilvl w:val="0"/>
          <w:numId w:val="3"/>
        </w:numPr>
        <w:tabs>
          <w:tab w:val="left" w:pos="552"/>
        </w:tabs>
        <w:ind w:right="117"/>
        <w:rPr>
          <w:rFonts w:ascii="Work Sans" w:hAnsi="Work Sans"/>
          <w:sz w:val="20"/>
        </w:rPr>
      </w:pPr>
      <w:r w:rsidRPr="003421FB">
        <w:rPr>
          <w:rFonts w:ascii="Work Sans" w:hAnsi="Work Sans"/>
          <w:sz w:val="20"/>
        </w:rPr>
        <w:t xml:space="preserve">illness without clear symptoms that the doctor can observe or record. The company is </w:t>
      </w:r>
      <w:r w:rsidRPr="003421FB">
        <w:rPr>
          <w:rFonts w:ascii="Work Sans" w:hAnsi="Work Sans"/>
          <w:sz w:val="20"/>
        </w:rPr>
        <w:lastRenderedPageBreak/>
        <w:t>also not liable for anxiety about staying on or travelling to vessels, mobile facilities or permanently placed facilities, or for the consequences of abuse of alcohol or other intoxicants or abuse of such medicines that are only sold on prescription.</w:t>
      </w:r>
    </w:p>
    <w:p w14:paraId="2ECBD98A" w14:textId="411AE86D" w:rsidR="003247B0" w:rsidRPr="005553E2" w:rsidRDefault="003247B0" w:rsidP="003421FB">
      <w:pPr>
        <w:pStyle w:val="Listeavsnitt"/>
        <w:numPr>
          <w:ilvl w:val="0"/>
          <w:numId w:val="3"/>
        </w:numPr>
        <w:tabs>
          <w:tab w:val="left" w:pos="581"/>
        </w:tabs>
        <w:rPr>
          <w:rFonts w:ascii="Work Sans" w:hAnsi="Work Sans"/>
          <w:sz w:val="20"/>
        </w:rPr>
      </w:pPr>
      <w:r w:rsidRPr="005553E2">
        <w:rPr>
          <w:rFonts w:ascii="Work Sans" w:hAnsi="Work Sans"/>
          <w:sz w:val="20"/>
        </w:rPr>
        <w:t xml:space="preserve">Pregnancy and childbirth are not considered </w:t>
      </w:r>
      <w:r w:rsidRPr="005553E2">
        <w:rPr>
          <w:rFonts w:ascii="Work Sans" w:hAnsi="Work Sans"/>
          <w:spacing w:val="-2"/>
          <w:sz w:val="20"/>
        </w:rPr>
        <w:t>illnesses.</w:t>
      </w:r>
    </w:p>
    <w:p w14:paraId="4A151E95" w14:textId="77777777" w:rsidR="002E6F5A" w:rsidRPr="003421FB" w:rsidRDefault="003247B0" w:rsidP="003421FB">
      <w:pPr>
        <w:pStyle w:val="Listeavsnitt"/>
        <w:numPr>
          <w:ilvl w:val="0"/>
          <w:numId w:val="3"/>
        </w:numPr>
        <w:tabs>
          <w:tab w:val="left" w:pos="581"/>
        </w:tabs>
        <w:ind w:right="108"/>
        <w:rPr>
          <w:rFonts w:ascii="Work Sans" w:hAnsi="Work Sans"/>
          <w:sz w:val="20"/>
        </w:rPr>
      </w:pPr>
      <w:r w:rsidRPr="003421FB">
        <w:rPr>
          <w:rFonts w:ascii="Work Sans" w:hAnsi="Work Sans"/>
          <w:sz w:val="20"/>
        </w:rPr>
        <w:t xml:space="preserve">Accidental injury suffered by the insured person while committing or attempting to commit a crime, or while under the influence of narcotics or </w:t>
      </w:r>
      <w:proofErr w:type="gramStart"/>
      <w:r w:rsidRPr="003421FB">
        <w:rPr>
          <w:rFonts w:ascii="Work Sans" w:hAnsi="Work Sans"/>
          <w:sz w:val="20"/>
        </w:rPr>
        <w:t>intoxicated</w:t>
      </w:r>
      <w:proofErr w:type="gramEnd"/>
      <w:r w:rsidRPr="003421FB">
        <w:rPr>
          <w:rFonts w:ascii="Work Sans" w:hAnsi="Work Sans"/>
          <w:sz w:val="20"/>
        </w:rPr>
        <w:t>, unless it can be proven that there is no causal connection between the insured person's impaired state and the accidental injury.</w:t>
      </w:r>
    </w:p>
    <w:p w14:paraId="27432880" w14:textId="77777777" w:rsidR="002E6F5A" w:rsidRPr="003421FB" w:rsidRDefault="003247B0" w:rsidP="003421FB">
      <w:pPr>
        <w:pStyle w:val="Listeavsnitt"/>
        <w:numPr>
          <w:ilvl w:val="0"/>
          <w:numId w:val="3"/>
        </w:numPr>
        <w:tabs>
          <w:tab w:val="left" w:pos="581"/>
        </w:tabs>
        <w:rPr>
          <w:rFonts w:ascii="Work Sans" w:hAnsi="Work Sans"/>
          <w:sz w:val="20"/>
        </w:rPr>
      </w:pPr>
      <w:r w:rsidRPr="003421FB">
        <w:rPr>
          <w:rFonts w:ascii="Work Sans" w:hAnsi="Work Sans"/>
          <w:sz w:val="20"/>
        </w:rPr>
        <w:t xml:space="preserve">Illness or accidental injury caused by intent or gross </w:t>
      </w:r>
      <w:r w:rsidRPr="003421FB">
        <w:rPr>
          <w:rFonts w:ascii="Work Sans" w:hAnsi="Work Sans"/>
          <w:spacing w:val="-2"/>
          <w:sz w:val="20"/>
        </w:rPr>
        <w:t>negligence.</w:t>
      </w:r>
    </w:p>
    <w:p w14:paraId="56757F54" w14:textId="77777777" w:rsidR="002E6F5A" w:rsidRPr="003421FB" w:rsidRDefault="003247B0" w:rsidP="003421FB">
      <w:pPr>
        <w:pStyle w:val="Listeavsnitt"/>
        <w:numPr>
          <w:ilvl w:val="0"/>
          <w:numId w:val="3"/>
        </w:numPr>
        <w:tabs>
          <w:tab w:val="left" w:pos="581"/>
        </w:tabs>
        <w:ind w:right="734"/>
        <w:rPr>
          <w:rFonts w:ascii="Work Sans" w:hAnsi="Work Sans"/>
          <w:sz w:val="20"/>
        </w:rPr>
      </w:pPr>
      <w:r w:rsidRPr="003421FB">
        <w:rPr>
          <w:rFonts w:ascii="Work Sans" w:hAnsi="Work Sans"/>
          <w:sz w:val="20"/>
        </w:rPr>
        <w:t>illness or accidental injury caused by boxing, wrestling, judo and karate, hang gliding, parachuting, ballooning, scuba diving and motor vehicle racing.</w:t>
      </w:r>
    </w:p>
    <w:p w14:paraId="74A2A8A2" w14:textId="77777777" w:rsidR="002E6F5A" w:rsidRPr="003421FB" w:rsidRDefault="003247B0" w:rsidP="003421FB">
      <w:pPr>
        <w:pStyle w:val="Listeavsnitt"/>
        <w:numPr>
          <w:ilvl w:val="0"/>
          <w:numId w:val="3"/>
        </w:numPr>
        <w:tabs>
          <w:tab w:val="left" w:pos="581"/>
        </w:tabs>
        <w:rPr>
          <w:rFonts w:ascii="Work Sans" w:hAnsi="Work Sans"/>
          <w:sz w:val="20"/>
        </w:rPr>
      </w:pPr>
      <w:r w:rsidRPr="003421FB">
        <w:rPr>
          <w:rFonts w:ascii="Work Sans" w:hAnsi="Work Sans"/>
          <w:sz w:val="20"/>
        </w:rPr>
        <w:t xml:space="preserve">Death from any </w:t>
      </w:r>
      <w:r w:rsidRPr="003421FB">
        <w:rPr>
          <w:rFonts w:ascii="Work Sans" w:hAnsi="Work Sans"/>
          <w:spacing w:val="-2"/>
          <w:sz w:val="20"/>
        </w:rPr>
        <w:t>cause.</w:t>
      </w:r>
    </w:p>
    <w:p w14:paraId="1F2C3701" w14:textId="77777777" w:rsidR="002E6F5A" w:rsidRPr="003421FB" w:rsidRDefault="003247B0" w:rsidP="003421FB">
      <w:pPr>
        <w:pStyle w:val="Listeavsnitt"/>
        <w:numPr>
          <w:ilvl w:val="0"/>
          <w:numId w:val="3"/>
        </w:numPr>
        <w:tabs>
          <w:tab w:val="left" w:pos="581"/>
        </w:tabs>
        <w:ind w:right="381"/>
        <w:rPr>
          <w:rFonts w:ascii="Work Sans" w:hAnsi="Work Sans"/>
          <w:sz w:val="20"/>
        </w:rPr>
      </w:pPr>
      <w:r w:rsidRPr="003421FB">
        <w:rPr>
          <w:rFonts w:ascii="Work Sans" w:hAnsi="Work Sans"/>
          <w:sz w:val="20"/>
        </w:rPr>
        <w:t>Human Immunodeficiency Virus (HIV) and/or Acquired Immune Deficiency Syndrome (AIDS) and/or HIV- or AIDS-related illness.</w:t>
      </w:r>
    </w:p>
    <w:p w14:paraId="7E46E76B" w14:textId="77777777" w:rsidR="002E6F5A" w:rsidRPr="003247B0" w:rsidRDefault="002E6F5A" w:rsidP="003247B0">
      <w:pPr>
        <w:pStyle w:val="Brdtekst"/>
        <w:ind w:left="368" w:hanging="357"/>
        <w:rPr>
          <w:rFonts w:ascii="Work Sans" w:hAnsi="Work Sans"/>
        </w:rPr>
      </w:pPr>
    </w:p>
    <w:p w14:paraId="0128EDB5" w14:textId="77777777" w:rsidR="002E6F5A" w:rsidRPr="003247B0" w:rsidRDefault="002E6F5A" w:rsidP="003247B0">
      <w:pPr>
        <w:pStyle w:val="Brdtekst"/>
        <w:ind w:left="368" w:hanging="357"/>
        <w:rPr>
          <w:rFonts w:ascii="Work Sans" w:hAnsi="Work Sans"/>
        </w:rPr>
      </w:pPr>
    </w:p>
    <w:p w14:paraId="7281490E" w14:textId="3D5F0931" w:rsidR="003247B0" w:rsidRPr="00331829" w:rsidRDefault="003247B0" w:rsidP="00331829">
      <w:pPr>
        <w:pStyle w:val="Overskrift1"/>
        <w:numPr>
          <w:ilvl w:val="0"/>
          <w:numId w:val="2"/>
        </w:numPr>
        <w:tabs>
          <w:tab w:val="left" w:pos="1007"/>
        </w:tabs>
        <w:ind w:left="368" w:hanging="357"/>
        <w:rPr>
          <w:rFonts w:ascii="Work Sans" w:hAnsi="Work Sans"/>
        </w:rPr>
      </w:pPr>
      <w:r w:rsidRPr="003247B0">
        <w:rPr>
          <w:rFonts w:ascii="Work Sans" w:hAnsi="Work Sans"/>
        </w:rPr>
        <w:t xml:space="preserve">Claims settlement - payment of </w:t>
      </w:r>
      <w:r w:rsidRPr="003247B0">
        <w:rPr>
          <w:rFonts w:ascii="Work Sans" w:hAnsi="Work Sans"/>
          <w:spacing w:val="-2"/>
        </w:rPr>
        <w:t>compensation</w:t>
      </w:r>
      <w:r w:rsidR="00331829">
        <w:rPr>
          <w:rFonts w:ascii="Work Sans" w:hAnsi="Work Sans"/>
        </w:rPr>
        <w:br/>
      </w:r>
    </w:p>
    <w:p w14:paraId="46793350" w14:textId="43CBC101" w:rsidR="00A47C4D" w:rsidRPr="00A47C4D" w:rsidRDefault="003247B0" w:rsidP="00A47C4D">
      <w:pPr>
        <w:pStyle w:val="Brdtekst"/>
        <w:spacing w:before="82"/>
        <w:ind w:left="11" w:right="130"/>
        <w:rPr>
          <w:rFonts w:ascii="Work Sans" w:hAnsi="Work Sans"/>
        </w:rPr>
      </w:pPr>
      <w:r w:rsidRPr="001971CD">
        <w:rPr>
          <w:rFonts w:ascii="Work Sans" w:hAnsi="Work Sans"/>
        </w:rPr>
        <w:t xml:space="preserve">The </w:t>
      </w:r>
      <w:r w:rsidR="00A47C4D" w:rsidRPr="00A47C4D">
        <w:rPr>
          <w:rFonts w:ascii="Work Sans" w:hAnsi="Work Sans"/>
        </w:rPr>
        <w:t>agreed insurance amount becomes payable on the day the valid medical certificate is permanently withdrawn. If there is any doubt as to whether the loss of the medical certificate is permanent, the decision shall be submitted to the Appeals Board. In such cases, the compensation becomes payable on the day the withdrawal is deemed final and permanent.</w:t>
      </w:r>
      <w:r w:rsidR="00A47C4D">
        <w:rPr>
          <w:rFonts w:ascii="Work Sans" w:hAnsi="Work Sans"/>
        </w:rPr>
        <w:br/>
      </w:r>
    </w:p>
    <w:p w14:paraId="7D22D71B" w14:textId="244FC6B9" w:rsidR="00A47C4D" w:rsidRPr="00A47C4D" w:rsidRDefault="00A47C4D" w:rsidP="00A47C4D">
      <w:pPr>
        <w:pStyle w:val="Brdtekst"/>
        <w:spacing w:before="82"/>
        <w:ind w:left="11" w:right="130"/>
        <w:rPr>
          <w:rFonts w:ascii="Work Sans" w:hAnsi="Work Sans"/>
        </w:rPr>
      </w:pPr>
      <w:r w:rsidRPr="00A47C4D">
        <w:rPr>
          <w:rFonts w:ascii="Work Sans" w:hAnsi="Work Sans"/>
        </w:rPr>
        <w:t>If the insured is entitled to compensation for the same injury or illness under occupational injury insurance, accident insurance (Safety Insurance), or other insurance schemes financed by the employer, the compensation under the license insurance will be reduced by a corresponding amount.</w:t>
      </w:r>
      <w:r>
        <w:rPr>
          <w:rFonts w:ascii="Work Sans" w:hAnsi="Work Sans"/>
        </w:rPr>
        <w:br/>
      </w:r>
    </w:p>
    <w:p w14:paraId="3CA3340D" w14:textId="77777777" w:rsidR="00A47C4D" w:rsidRPr="00A47C4D" w:rsidRDefault="00A47C4D" w:rsidP="00A47C4D">
      <w:pPr>
        <w:pStyle w:val="Brdtekst"/>
        <w:spacing w:before="82"/>
        <w:ind w:left="11" w:right="130"/>
        <w:rPr>
          <w:rFonts w:ascii="Work Sans" w:hAnsi="Work Sans"/>
        </w:rPr>
      </w:pPr>
      <w:r w:rsidRPr="00A47C4D">
        <w:rPr>
          <w:rFonts w:ascii="Work Sans" w:hAnsi="Work Sans"/>
        </w:rPr>
        <w:t xml:space="preserve">However, disability pension payments do not lead to a deduction from </w:t>
      </w:r>
      <w:proofErr w:type="gramStart"/>
      <w:r w:rsidRPr="00A47C4D">
        <w:rPr>
          <w:rFonts w:ascii="Work Sans" w:hAnsi="Work Sans"/>
        </w:rPr>
        <w:t>the compensation</w:t>
      </w:r>
      <w:proofErr w:type="gramEnd"/>
      <w:r w:rsidRPr="00A47C4D">
        <w:rPr>
          <w:rFonts w:ascii="Work Sans" w:hAnsi="Work Sans"/>
        </w:rPr>
        <w:t xml:space="preserve"> under the license insurance.</w:t>
      </w:r>
    </w:p>
    <w:p w14:paraId="03D73E14" w14:textId="02CA9D14" w:rsidR="00A47C4D" w:rsidRPr="00A47C4D" w:rsidRDefault="00A47C4D" w:rsidP="00A47C4D">
      <w:pPr>
        <w:pStyle w:val="Brdtekst"/>
        <w:spacing w:before="82"/>
        <w:ind w:left="11" w:right="130"/>
        <w:rPr>
          <w:rFonts w:ascii="Work Sans" w:hAnsi="Work Sans"/>
        </w:rPr>
      </w:pPr>
      <w:r>
        <w:rPr>
          <w:rFonts w:ascii="Work Sans" w:hAnsi="Work Sans"/>
        </w:rPr>
        <w:br/>
      </w:r>
      <w:r w:rsidRPr="00A47C4D">
        <w:rPr>
          <w:rFonts w:ascii="Work Sans" w:hAnsi="Work Sans"/>
        </w:rPr>
        <w:t>If the license insurance is paid out first, this is to be regarded as an advance payment (on account) to be deducted from the final settlement under other employer-financed insurance policies.</w:t>
      </w:r>
    </w:p>
    <w:p w14:paraId="74B80F8D" w14:textId="646665E7" w:rsidR="00A47C4D" w:rsidRPr="00A47C4D" w:rsidRDefault="00A47C4D" w:rsidP="00A47C4D">
      <w:pPr>
        <w:pStyle w:val="Brdtekst"/>
        <w:spacing w:before="82"/>
        <w:ind w:left="11" w:right="130"/>
        <w:rPr>
          <w:rFonts w:ascii="Work Sans" w:hAnsi="Work Sans"/>
        </w:rPr>
      </w:pPr>
      <w:r>
        <w:rPr>
          <w:rFonts w:ascii="Work Sans" w:hAnsi="Work Sans"/>
        </w:rPr>
        <w:br/>
      </w:r>
      <w:r w:rsidRPr="00A47C4D">
        <w:rPr>
          <w:rFonts w:ascii="Work Sans" w:hAnsi="Work Sans"/>
        </w:rPr>
        <w:t xml:space="preserve">The policyholder and the insured are responsible for providing information about other employer-financed insurance schemes that may be </w:t>
      </w:r>
      <w:proofErr w:type="gramStart"/>
      <w:r w:rsidRPr="00A47C4D">
        <w:rPr>
          <w:rFonts w:ascii="Work Sans" w:hAnsi="Work Sans"/>
        </w:rPr>
        <w:t>paid</w:t>
      </w:r>
      <w:proofErr w:type="gramEnd"/>
      <w:r w:rsidRPr="00A47C4D">
        <w:rPr>
          <w:rFonts w:ascii="Work Sans" w:hAnsi="Work Sans"/>
        </w:rPr>
        <w:t xml:space="preserve"> </w:t>
      </w:r>
      <w:proofErr w:type="gramStart"/>
      <w:r w:rsidRPr="00A47C4D">
        <w:rPr>
          <w:rFonts w:ascii="Work Sans" w:hAnsi="Work Sans"/>
        </w:rPr>
        <w:t>as a result of</w:t>
      </w:r>
      <w:proofErr w:type="gramEnd"/>
      <w:r w:rsidRPr="00A47C4D">
        <w:rPr>
          <w:rFonts w:ascii="Work Sans" w:hAnsi="Work Sans"/>
        </w:rPr>
        <w:t xml:space="preserve"> </w:t>
      </w:r>
      <w:proofErr w:type="gramStart"/>
      <w:r w:rsidRPr="00A47C4D">
        <w:rPr>
          <w:rFonts w:ascii="Work Sans" w:hAnsi="Work Sans"/>
        </w:rPr>
        <w:t>the injury</w:t>
      </w:r>
      <w:proofErr w:type="gramEnd"/>
      <w:r w:rsidRPr="00A47C4D">
        <w:rPr>
          <w:rFonts w:ascii="Work Sans" w:hAnsi="Work Sans"/>
        </w:rPr>
        <w:t xml:space="preserve"> or illness causing the loss of the license.</w:t>
      </w:r>
    </w:p>
    <w:p w14:paraId="4A3FE33A" w14:textId="7AF27148" w:rsidR="002E6F5A" w:rsidRPr="001971CD" w:rsidRDefault="00A47C4D" w:rsidP="00AA3880">
      <w:pPr>
        <w:pStyle w:val="Brdtekst"/>
        <w:spacing w:before="82"/>
        <w:ind w:left="11" w:right="130"/>
        <w:rPr>
          <w:rFonts w:ascii="Work Sans" w:hAnsi="Work Sans"/>
        </w:rPr>
      </w:pPr>
      <w:r>
        <w:rPr>
          <w:rFonts w:ascii="Work Sans" w:hAnsi="Work Sans"/>
        </w:rPr>
        <w:br/>
      </w:r>
      <w:r w:rsidRPr="00A47C4D">
        <w:rPr>
          <w:rFonts w:ascii="Work Sans" w:hAnsi="Work Sans"/>
        </w:rPr>
        <w:t>Compensation for loss of a medical certificate will only be paid once. Upon payment, the insured exits the insurance</w:t>
      </w:r>
      <w:r>
        <w:rPr>
          <w:rFonts w:ascii="Work Sans" w:hAnsi="Work Sans"/>
        </w:rPr>
        <w:t>.</w:t>
      </w:r>
    </w:p>
    <w:p w14:paraId="0FFD0A4E" w14:textId="77777777" w:rsidR="002E6F5A" w:rsidRPr="003247B0" w:rsidRDefault="002E6F5A" w:rsidP="003247B0">
      <w:pPr>
        <w:pStyle w:val="Brdtekst"/>
        <w:ind w:left="368" w:hanging="357"/>
        <w:rPr>
          <w:rFonts w:ascii="Work Sans" w:hAnsi="Work Sans"/>
        </w:rPr>
      </w:pPr>
    </w:p>
    <w:p w14:paraId="7F46C7E7" w14:textId="42B38AC9" w:rsidR="003247B0" w:rsidRPr="00AA3880" w:rsidRDefault="003247B0" w:rsidP="00AA3880">
      <w:pPr>
        <w:pStyle w:val="Overskrift1"/>
        <w:numPr>
          <w:ilvl w:val="0"/>
          <w:numId w:val="2"/>
        </w:numPr>
        <w:tabs>
          <w:tab w:val="left" w:pos="818"/>
        </w:tabs>
        <w:ind w:left="368" w:hanging="357"/>
        <w:rPr>
          <w:rFonts w:ascii="Work Sans" w:hAnsi="Work Sans"/>
        </w:rPr>
      </w:pPr>
      <w:r w:rsidRPr="003247B0">
        <w:rPr>
          <w:rFonts w:ascii="Work Sans" w:hAnsi="Work Sans"/>
          <w:spacing w:val="-2"/>
        </w:rPr>
        <w:t>Claims</w:t>
      </w:r>
    </w:p>
    <w:p w14:paraId="66896591" w14:textId="7CE01D41" w:rsidR="002E6F5A" w:rsidRPr="001971CD" w:rsidRDefault="00136BBF" w:rsidP="003247B0">
      <w:pPr>
        <w:pStyle w:val="Brdtekst"/>
        <w:spacing w:before="82"/>
        <w:ind w:left="11" w:right="130"/>
        <w:rPr>
          <w:rFonts w:ascii="Work Sans" w:hAnsi="Work Sans"/>
        </w:rPr>
      </w:pPr>
      <w:r>
        <w:rPr>
          <w:rFonts w:ascii="Work Sans" w:hAnsi="Work Sans"/>
        </w:rPr>
        <w:br/>
      </w:r>
      <w:r w:rsidR="003247B0" w:rsidRPr="001971CD">
        <w:rPr>
          <w:rFonts w:ascii="Work Sans" w:hAnsi="Work Sans"/>
        </w:rPr>
        <w:t>Claims must be submitted without delay when it is assumed that the right to receive compensation exists.</w:t>
      </w:r>
    </w:p>
    <w:p w14:paraId="400A63F0" w14:textId="77777777" w:rsidR="002E6F5A" w:rsidRPr="001971CD" w:rsidRDefault="003247B0" w:rsidP="003247B0">
      <w:pPr>
        <w:pStyle w:val="Brdtekst"/>
        <w:spacing w:before="82"/>
        <w:ind w:left="11" w:right="130"/>
        <w:rPr>
          <w:rFonts w:ascii="Work Sans" w:hAnsi="Work Sans"/>
        </w:rPr>
      </w:pPr>
      <w:r w:rsidRPr="001971CD">
        <w:rPr>
          <w:rFonts w:ascii="Work Sans" w:hAnsi="Work Sans"/>
        </w:rPr>
        <w:t>Anyone claiming compensation must consult a doctor without delay, undergo regular medical treatment and comply with the doctor's instructions.</w:t>
      </w:r>
    </w:p>
    <w:p w14:paraId="69A8B61E" w14:textId="7F149CF8" w:rsidR="002E6F5A" w:rsidRPr="001971CD" w:rsidRDefault="00D8004C" w:rsidP="003247B0">
      <w:pPr>
        <w:pStyle w:val="Brdtekst"/>
        <w:spacing w:before="82"/>
        <w:ind w:left="11" w:right="130"/>
        <w:rPr>
          <w:rFonts w:ascii="Work Sans" w:hAnsi="Work Sans"/>
        </w:rPr>
      </w:pPr>
      <w:r>
        <w:rPr>
          <w:rFonts w:ascii="Work Sans" w:hAnsi="Work Sans"/>
        </w:rPr>
        <w:br/>
      </w:r>
      <w:r w:rsidR="003247B0" w:rsidRPr="001971CD">
        <w:rPr>
          <w:rFonts w:ascii="Work Sans" w:hAnsi="Work Sans"/>
        </w:rPr>
        <w:t xml:space="preserve">All claims must be reported to: </w:t>
      </w:r>
      <w:r w:rsidR="00E0257E">
        <w:rPr>
          <w:rFonts w:ascii="Work Sans" w:hAnsi="Work Sans"/>
        </w:rPr>
        <w:br/>
      </w:r>
      <w:r w:rsidR="003247B0" w:rsidRPr="001971CD">
        <w:rPr>
          <w:rFonts w:ascii="Work Sans" w:hAnsi="Work Sans"/>
        </w:rPr>
        <w:t>Norwegian Underwriting Agency AS</w:t>
      </w:r>
    </w:p>
    <w:p w14:paraId="085F8521" w14:textId="35869490" w:rsidR="002E6F5A" w:rsidRDefault="003247B0" w:rsidP="003247B0">
      <w:pPr>
        <w:pStyle w:val="Brdtekst"/>
        <w:spacing w:before="82"/>
        <w:ind w:left="11" w:right="130"/>
        <w:rPr>
          <w:rFonts w:ascii="Work Sans" w:hAnsi="Work Sans"/>
          <w:lang w:val="nb-NO"/>
        </w:rPr>
      </w:pPr>
      <w:r>
        <w:rPr>
          <w:rFonts w:ascii="Work Sans" w:hAnsi="Work Sans"/>
          <w:lang w:val="nb-NO"/>
        </w:rPr>
        <w:t>Fru Kroghs Brygge 8</w:t>
      </w:r>
    </w:p>
    <w:p w14:paraId="5C9E0477" w14:textId="5BFED94C" w:rsidR="003247B0" w:rsidRPr="003247B0" w:rsidRDefault="003247B0" w:rsidP="003247B0">
      <w:pPr>
        <w:pStyle w:val="Brdtekst"/>
        <w:spacing w:before="82"/>
        <w:ind w:left="11" w:right="130"/>
        <w:rPr>
          <w:rFonts w:ascii="Work Sans" w:hAnsi="Work Sans"/>
          <w:lang w:val="nb-NO"/>
        </w:rPr>
      </w:pPr>
      <w:r>
        <w:rPr>
          <w:rFonts w:ascii="Work Sans" w:hAnsi="Work Sans"/>
          <w:lang w:val="nb-NO"/>
        </w:rPr>
        <w:t xml:space="preserve">0252 </w:t>
      </w:r>
      <w:r w:rsidR="00042010">
        <w:rPr>
          <w:rFonts w:ascii="Work Sans" w:hAnsi="Work Sans"/>
          <w:lang w:val="nb-NO"/>
        </w:rPr>
        <w:t>Oslo Norway</w:t>
      </w:r>
    </w:p>
    <w:p w14:paraId="5FD7636D" w14:textId="61852B7B" w:rsidR="003247B0" w:rsidRPr="001971CD" w:rsidRDefault="003247B0" w:rsidP="00A80804">
      <w:pPr>
        <w:pStyle w:val="Brdtekst"/>
        <w:spacing w:before="82"/>
        <w:ind w:left="11" w:right="130"/>
        <w:rPr>
          <w:rFonts w:ascii="Work Sans" w:hAnsi="Work Sans"/>
          <w:lang w:val="nb-NO"/>
        </w:rPr>
      </w:pPr>
      <w:r w:rsidRPr="003247B0">
        <w:rPr>
          <w:rFonts w:ascii="Work Sans" w:hAnsi="Work Sans"/>
          <w:lang w:val="nb-NO"/>
        </w:rPr>
        <w:t>Email:</w:t>
      </w:r>
      <w:r>
        <w:rPr>
          <w:rFonts w:ascii="Work Sans" w:hAnsi="Work Sans"/>
          <w:lang w:val="nb-NO"/>
        </w:rPr>
        <w:t xml:space="preserve"> post@norua.com</w:t>
      </w:r>
      <w:r w:rsidR="00A80804">
        <w:rPr>
          <w:rFonts w:ascii="Work Sans" w:hAnsi="Work Sans"/>
          <w:lang w:val="nb-NO"/>
        </w:rPr>
        <w:br/>
      </w:r>
    </w:p>
    <w:p w14:paraId="47D15C39" w14:textId="1B2E71FB" w:rsidR="002E6F5A" w:rsidRPr="003247B0" w:rsidRDefault="003247B0" w:rsidP="003247B0">
      <w:pPr>
        <w:pStyle w:val="Overskrift1"/>
        <w:numPr>
          <w:ilvl w:val="0"/>
          <w:numId w:val="2"/>
        </w:numPr>
        <w:tabs>
          <w:tab w:val="left" w:pos="1007"/>
        </w:tabs>
        <w:ind w:left="368" w:hanging="357"/>
        <w:rPr>
          <w:rFonts w:ascii="Work Sans" w:hAnsi="Work Sans"/>
        </w:rPr>
      </w:pPr>
      <w:r w:rsidRPr="003247B0">
        <w:rPr>
          <w:rFonts w:ascii="Work Sans" w:hAnsi="Work Sans"/>
          <w:spacing w:val="-2"/>
        </w:rPr>
        <w:t>Subrogation</w:t>
      </w:r>
    </w:p>
    <w:p w14:paraId="45CBD0D9" w14:textId="7AE299F9" w:rsidR="002E6F5A" w:rsidRPr="001971CD" w:rsidRDefault="00AA3880" w:rsidP="00A80804">
      <w:pPr>
        <w:pStyle w:val="Brdtekst"/>
        <w:spacing w:before="82"/>
        <w:ind w:left="0" w:right="130"/>
        <w:rPr>
          <w:rFonts w:ascii="Work Sans" w:hAnsi="Work Sans"/>
        </w:rPr>
      </w:pPr>
      <w:r>
        <w:rPr>
          <w:rFonts w:ascii="Work Sans" w:hAnsi="Work Sans"/>
        </w:rPr>
        <w:br/>
      </w:r>
      <w:r w:rsidR="003247B0" w:rsidRPr="001971CD">
        <w:rPr>
          <w:rFonts w:ascii="Work Sans" w:hAnsi="Work Sans"/>
        </w:rPr>
        <w:t xml:space="preserve">The insurer shall assume the rights of the insured </w:t>
      </w:r>
      <w:proofErr w:type="gramStart"/>
      <w:r w:rsidR="003247B0" w:rsidRPr="001971CD">
        <w:rPr>
          <w:rFonts w:ascii="Work Sans" w:hAnsi="Work Sans"/>
        </w:rPr>
        <w:t>with regard to</w:t>
      </w:r>
      <w:proofErr w:type="gramEnd"/>
      <w:r w:rsidR="003247B0" w:rsidRPr="001971CD">
        <w:rPr>
          <w:rFonts w:ascii="Work Sans" w:hAnsi="Work Sans"/>
        </w:rPr>
        <w:t xml:space="preserve"> recourse and legal remedies, both before and after payment has been made by the insurer, for such amount paid, and the insured shall take all reasonable steps to protect such rights and legal remedies.</w:t>
      </w:r>
    </w:p>
    <w:p w14:paraId="29604E5C" w14:textId="77777777" w:rsidR="002E6F5A" w:rsidRPr="001971CD" w:rsidRDefault="002E6F5A" w:rsidP="003247B0">
      <w:pPr>
        <w:pStyle w:val="Brdtekst"/>
        <w:spacing w:before="82"/>
        <w:ind w:left="11" w:right="130"/>
        <w:rPr>
          <w:rFonts w:ascii="Work Sans" w:hAnsi="Work Sans"/>
        </w:rPr>
      </w:pPr>
    </w:p>
    <w:p w14:paraId="6EAAEF25" w14:textId="77777777" w:rsidR="002E6F5A" w:rsidRPr="003247B0" w:rsidRDefault="003247B0" w:rsidP="003247B0">
      <w:pPr>
        <w:pStyle w:val="Overskrift1"/>
        <w:numPr>
          <w:ilvl w:val="0"/>
          <w:numId w:val="2"/>
        </w:numPr>
        <w:tabs>
          <w:tab w:val="left" w:pos="1007"/>
        </w:tabs>
        <w:ind w:left="368" w:hanging="357"/>
        <w:rPr>
          <w:rFonts w:ascii="Work Sans" w:hAnsi="Work Sans"/>
        </w:rPr>
      </w:pPr>
      <w:r w:rsidRPr="003247B0">
        <w:rPr>
          <w:rFonts w:ascii="Work Sans" w:hAnsi="Work Sans"/>
          <w:spacing w:val="-2"/>
        </w:rPr>
        <w:t>Recourse</w:t>
      </w:r>
    </w:p>
    <w:p w14:paraId="2EA54279" w14:textId="1770C629" w:rsidR="002E6F5A" w:rsidRPr="001971CD" w:rsidRDefault="00A25114" w:rsidP="003247B0">
      <w:pPr>
        <w:pStyle w:val="Brdtekst"/>
        <w:spacing w:before="82"/>
        <w:ind w:left="11" w:right="130"/>
        <w:rPr>
          <w:rFonts w:ascii="Work Sans" w:hAnsi="Work Sans"/>
        </w:rPr>
      </w:pPr>
      <w:r>
        <w:rPr>
          <w:rFonts w:ascii="Work Sans" w:hAnsi="Work Sans"/>
        </w:rPr>
        <w:br/>
      </w:r>
      <w:r w:rsidR="003247B0" w:rsidRPr="001971CD">
        <w:rPr>
          <w:rFonts w:ascii="Work Sans" w:hAnsi="Work Sans"/>
        </w:rPr>
        <w:t xml:space="preserve">If the insured has exceeded the one-year deadline for reporting an insurance claim to the insurance company (cf. </w:t>
      </w:r>
      <w:r>
        <w:rPr>
          <w:rFonts w:ascii="Work Sans" w:hAnsi="Work Sans"/>
        </w:rPr>
        <w:t xml:space="preserve">section </w:t>
      </w:r>
      <w:r w:rsidR="003247B0" w:rsidRPr="001971CD">
        <w:rPr>
          <w:rFonts w:ascii="Work Sans" w:hAnsi="Work Sans"/>
        </w:rPr>
        <w:t>8-5, paragraph 1</w:t>
      </w:r>
      <w:r>
        <w:rPr>
          <w:rFonts w:ascii="Work Sans" w:hAnsi="Work Sans"/>
        </w:rPr>
        <w:t xml:space="preserve"> of the Norwegian </w:t>
      </w:r>
      <w:r w:rsidRPr="00561A19">
        <w:rPr>
          <w:rFonts w:ascii="Work Sans" w:hAnsi="Work Sans"/>
        </w:rPr>
        <w:t>Insurance Contract</w:t>
      </w:r>
      <w:r>
        <w:rPr>
          <w:rFonts w:ascii="Work Sans" w:hAnsi="Work Sans"/>
        </w:rPr>
        <w:t>s</w:t>
      </w:r>
      <w:r w:rsidRPr="00561A19">
        <w:rPr>
          <w:rFonts w:ascii="Work Sans" w:hAnsi="Work Sans"/>
        </w:rPr>
        <w:t xml:space="preserve"> Act</w:t>
      </w:r>
      <w:r w:rsidR="003247B0" w:rsidRPr="001971CD">
        <w:rPr>
          <w:rFonts w:ascii="Work Sans" w:hAnsi="Work Sans"/>
        </w:rPr>
        <w:t>), the insurance company has the right to seek recourse from the insured in cases where the insurance company has paid compensation directly to the injured party.</w:t>
      </w:r>
    </w:p>
    <w:p w14:paraId="6B3E0667" w14:textId="77777777" w:rsidR="002E6F5A" w:rsidRPr="003247B0" w:rsidRDefault="002E6F5A" w:rsidP="003247B0">
      <w:pPr>
        <w:pStyle w:val="Brdtekst"/>
        <w:ind w:left="368" w:hanging="357"/>
        <w:rPr>
          <w:rFonts w:ascii="Work Sans" w:hAnsi="Work Sans"/>
        </w:rPr>
      </w:pPr>
    </w:p>
    <w:p w14:paraId="45889A79" w14:textId="77777777" w:rsidR="002E6F5A" w:rsidRPr="003247B0" w:rsidRDefault="003247B0" w:rsidP="003247B0">
      <w:pPr>
        <w:pStyle w:val="Overskrift1"/>
        <w:numPr>
          <w:ilvl w:val="0"/>
          <w:numId w:val="2"/>
        </w:numPr>
        <w:tabs>
          <w:tab w:val="left" w:pos="1007"/>
        </w:tabs>
        <w:ind w:left="368" w:right="575" w:hanging="357"/>
        <w:rPr>
          <w:rFonts w:ascii="Work Sans" w:hAnsi="Work Sans"/>
        </w:rPr>
      </w:pPr>
      <w:r w:rsidRPr="003247B0">
        <w:rPr>
          <w:rFonts w:ascii="Work Sans" w:hAnsi="Work Sans"/>
        </w:rPr>
        <w:t>In the event of disagreement about the insurer's handling of a case, assistance may be sought from:</w:t>
      </w:r>
    </w:p>
    <w:p w14:paraId="4BFA283A" w14:textId="4A5D72C6" w:rsidR="00D8004C" w:rsidRPr="00611CE9" w:rsidRDefault="00D8004C" w:rsidP="00D8004C">
      <w:pPr>
        <w:pStyle w:val="Brdtekst"/>
        <w:spacing w:before="165" w:line="256" w:lineRule="auto"/>
        <w:ind w:left="0" w:right="116"/>
        <w:rPr>
          <w:rFonts w:ascii="Work Sans" w:hAnsi="Work Sans"/>
        </w:rPr>
      </w:pPr>
      <w:r w:rsidRPr="00611CE9">
        <w:rPr>
          <w:rFonts w:ascii="Work Sans" w:hAnsi="Work Sans"/>
        </w:rPr>
        <w:t>Should the policyholder have any complaints regarding the insurance contract or services</w:t>
      </w:r>
      <w:r>
        <w:rPr>
          <w:rFonts w:ascii="Work Sans" w:hAnsi="Work Sans"/>
        </w:rPr>
        <w:t xml:space="preserve">, </w:t>
      </w:r>
      <w:r w:rsidRPr="00611CE9">
        <w:rPr>
          <w:rFonts w:ascii="Work Sans" w:hAnsi="Work Sans"/>
        </w:rPr>
        <w:t>notification may be sent</w:t>
      </w:r>
      <w:r>
        <w:rPr>
          <w:rFonts w:ascii="Work Sans" w:hAnsi="Work Sans"/>
        </w:rPr>
        <w:t xml:space="preserve"> to:</w:t>
      </w:r>
    </w:p>
    <w:p w14:paraId="56E614A2" w14:textId="77777777" w:rsidR="00D8004C" w:rsidRDefault="00D8004C" w:rsidP="00D8004C">
      <w:pPr>
        <w:pStyle w:val="Brdtekst"/>
        <w:ind w:left="459"/>
        <w:rPr>
          <w:rFonts w:ascii="Work Sans" w:hAnsi="Work Sans"/>
        </w:rPr>
      </w:pPr>
    </w:p>
    <w:p w14:paraId="6EFEB2BB" w14:textId="77777777" w:rsidR="003F344B" w:rsidRPr="003F344B" w:rsidRDefault="003F344B" w:rsidP="003F344B">
      <w:pPr>
        <w:pStyle w:val="Brdtekst"/>
        <w:ind w:left="459"/>
        <w:rPr>
          <w:rFonts w:ascii="Work Sans" w:hAnsi="Work Sans"/>
        </w:rPr>
      </w:pPr>
      <w:r w:rsidRPr="003F344B">
        <w:rPr>
          <w:rFonts w:ascii="Work Sans" w:hAnsi="Work Sans"/>
        </w:rPr>
        <w:t xml:space="preserve">Norwegian Underwriting Agency AS </w:t>
      </w:r>
    </w:p>
    <w:p w14:paraId="3C1B93D0" w14:textId="77777777" w:rsidR="003F344B" w:rsidRPr="003F344B" w:rsidRDefault="003F344B" w:rsidP="003F344B">
      <w:pPr>
        <w:pStyle w:val="Brdtekst"/>
        <w:ind w:left="459"/>
        <w:rPr>
          <w:rFonts w:ascii="Work Sans" w:hAnsi="Work Sans"/>
        </w:rPr>
      </w:pPr>
      <w:r w:rsidRPr="003F344B">
        <w:rPr>
          <w:rFonts w:ascii="Work Sans" w:hAnsi="Work Sans"/>
        </w:rPr>
        <w:t xml:space="preserve">Fru </w:t>
      </w:r>
      <w:proofErr w:type="spellStart"/>
      <w:r w:rsidRPr="003F344B">
        <w:rPr>
          <w:rFonts w:ascii="Work Sans" w:hAnsi="Work Sans"/>
        </w:rPr>
        <w:t>Kroghs</w:t>
      </w:r>
      <w:proofErr w:type="spellEnd"/>
      <w:r w:rsidRPr="003F344B">
        <w:rPr>
          <w:rFonts w:ascii="Work Sans" w:hAnsi="Work Sans"/>
        </w:rPr>
        <w:t xml:space="preserve"> Brygge 8</w:t>
      </w:r>
    </w:p>
    <w:p w14:paraId="0902715A" w14:textId="77777777" w:rsidR="003F344B" w:rsidRPr="003F344B" w:rsidRDefault="003F344B" w:rsidP="003F344B">
      <w:pPr>
        <w:pStyle w:val="Brdtekst"/>
        <w:ind w:left="459"/>
        <w:rPr>
          <w:rFonts w:ascii="Work Sans" w:hAnsi="Work Sans"/>
        </w:rPr>
      </w:pPr>
      <w:r w:rsidRPr="003F344B">
        <w:rPr>
          <w:rFonts w:ascii="Work Sans" w:hAnsi="Work Sans"/>
        </w:rPr>
        <w:t>0252 Oslo Norway</w:t>
      </w:r>
    </w:p>
    <w:p w14:paraId="4ACF756E" w14:textId="4E660B4B" w:rsidR="00D8004C" w:rsidRPr="00611CE9" w:rsidRDefault="003F344B" w:rsidP="003F344B">
      <w:pPr>
        <w:pStyle w:val="Brdtekst"/>
        <w:ind w:left="459"/>
        <w:rPr>
          <w:rFonts w:ascii="Work Sans" w:hAnsi="Work Sans"/>
        </w:rPr>
      </w:pPr>
      <w:r w:rsidRPr="003F344B">
        <w:rPr>
          <w:rFonts w:ascii="Work Sans" w:hAnsi="Work Sans"/>
        </w:rPr>
        <w:t xml:space="preserve">Telephone: 22 120 130 </w:t>
      </w:r>
      <w:r>
        <w:rPr>
          <w:rFonts w:ascii="Work Sans" w:hAnsi="Work Sans"/>
        </w:rPr>
        <w:br/>
      </w:r>
      <w:r w:rsidR="00D8004C" w:rsidRPr="00611CE9">
        <w:rPr>
          <w:rFonts w:ascii="Work Sans" w:hAnsi="Work Sans"/>
        </w:rPr>
        <w:t xml:space="preserve">Email </w:t>
      </w:r>
      <w:hyperlink r:id="rId7">
        <w:r w:rsidR="00D8004C" w:rsidRPr="00611CE9">
          <w:rPr>
            <w:rFonts w:ascii="Work Sans" w:hAnsi="Work Sans"/>
            <w:spacing w:val="-2"/>
          </w:rPr>
          <w:t>post@norua.com</w:t>
        </w:r>
      </w:hyperlink>
    </w:p>
    <w:p w14:paraId="24D55932" w14:textId="3F720F9A" w:rsidR="002E6F5A" w:rsidRPr="001971CD" w:rsidRDefault="00D8004C" w:rsidP="003247B0">
      <w:pPr>
        <w:pStyle w:val="Brdtekst"/>
        <w:spacing w:before="82"/>
        <w:ind w:left="11" w:right="130"/>
        <w:rPr>
          <w:rFonts w:ascii="Work Sans" w:hAnsi="Work Sans"/>
        </w:rPr>
      </w:pPr>
      <w:r w:rsidRPr="00611CE9">
        <w:rPr>
          <w:rFonts w:ascii="Work Sans" w:hAnsi="Work Sans"/>
        </w:rPr>
        <w:t xml:space="preserve">The notice may also be sent directly to the insurance company at the address given in section </w:t>
      </w:r>
      <w:r w:rsidR="003247B0" w:rsidRPr="001971CD">
        <w:rPr>
          <w:rFonts w:ascii="Work Sans" w:hAnsi="Work Sans"/>
        </w:rPr>
        <w:t>7.</w:t>
      </w:r>
    </w:p>
    <w:p w14:paraId="27CB8DD6" w14:textId="77777777" w:rsidR="002E6F5A" w:rsidRPr="003247B0" w:rsidRDefault="002E6F5A" w:rsidP="003247B0">
      <w:pPr>
        <w:pStyle w:val="Brdtekst"/>
        <w:ind w:left="368" w:hanging="357"/>
        <w:rPr>
          <w:rFonts w:ascii="Work Sans" w:hAnsi="Work Sans"/>
        </w:rPr>
      </w:pPr>
    </w:p>
    <w:p w14:paraId="470D06D6" w14:textId="77777777" w:rsidR="002E6F5A" w:rsidRPr="003247B0" w:rsidRDefault="002E6F5A" w:rsidP="003247B0">
      <w:pPr>
        <w:pStyle w:val="Brdtekst"/>
        <w:ind w:left="368" w:hanging="357"/>
        <w:rPr>
          <w:rFonts w:ascii="Work Sans" w:hAnsi="Work Sans"/>
        </w:rPr>
      </w:pPr>
    </w:p>
    <w:p w14:paraId="59CC0D24" w14:textId="77777777" w:rsidR="002E6F5A" w:rsidRPr="003247B0" w:rsidRDefault="003247B0" w:rsidP="003247B0">
      <w:pPr>
        <w:pStyle w:val="Overskrift1"/>
        <w:numPr>
          <w:ilvl w:val="0"/>
          <w:numId w:val="2"/>
        </w:numPr>
        <w:tabs>
          <w:tab w:val="left" w:pos="1007"/>
        </w:tabs>
        <w:ind w:left="368" w:hanging="357"/>
        <w:rPr>
          <w:rFonts w:ascii="Work Sans" w:hAnsi="Work Sans"/>
        </w:rPr>
      </w:pPr>
      <w:r w:rsidRPr="003247B0">
        <w:rPr>
          <w:rFonts w:ascii="Work Sans" w:hAnsi="Work Sans"/>
        </w:rPr>
        <w:t xml:space="preserve">Insurer's right of </w:t>
      </w:r>
      <w:r w:rsidRPr="003247B0">
        <w:rPr>
          <w:rFonts w:ascii="Work Sans" w:hAnsi="Work Sans"/>
          <w:spacing w:val="-2"/>
        </w:rPr>
        <w:t>recourse</w:t>
      </w:r>
    </w:p>
    <w:p w14:paraId="04211046" w14:textId="61D8D508" w:rsidR="002E6F5A" w:rsidRPr="001971CD" w:rsidRDefault="00551F3F" w:rsidP="003247B0">
      <w:pPr>
        <w:pStyle w:val="Brdtekst"/>
        <w:spacing w:before="82"/>
        <w:ind w:left="11" w:right="130"/>
        <w:rPr>
          <w:rFonts w:ascii="Work Sans" w:hAnsi="Work Sans"/>
        </w:rPr>
      </w:pPr>
      <w:r>
        <w:rPr>
          <w:rFonts w:ascii="Work Sans" w:hAnsi="Work Sans"/>
        </w:rPr>
        <w:br/>
      </w:r>
      <w:r w:rsidR="003247B0" w:rsidRPr="001971CD">
        <w:rPr>
          <w:rFonts w:ascii="Work Sans" w:hAnsi="Work Sans"/>
        </w:rPr>
        <w:t xml:space="preserve">If the </w:t>
      </w:r>
      <w:r>
        <w:rPr>
          <w:rFonts w:ascii="Work Sans" w:hAnsi="Work Sans"/>
        </w:rPr>
        <w:t>p</w:t>
      </w:r>
      <w:r w:rsidR="003247B0" w:rsidRPr="001971CD">
        <w:rPr>
          <w:rFonts w:ascii="Work Sans" w:hAnsi="Work Sans"/>
        </w:rPr>
        <w:t xml:space="preserve">olicyholder fails to comply with his or her obligations under the agreement between the </w:t>
      </w:r>
      <w:r>
        <w:rPr>
          <w:rFonts w:ascii="Work Sans" w:hAnsi="Work Sans"/>
        </w:rPr>
        <w:t>p</w:t>
      </w:r>
      <w:r w:rsidR="003247B0" w:rsidRPr="001971CD">
        <w:rPr>
          <w:rFonts w:ascii="Work Sans" w:hAnsi="Work Sans"/>
        </w:rPr>
        <w:t xml:space="preserve">olicyholder and the </w:t>
      </w:r>
      <w:r>
        <w:rPr>
          <w:rFonts w:ascii="Work Sans" w:hAnsi="Work Sans"/>
        </w:rPr>
        <w:t>i</w:t>
      </w:r>
      <w:r w:rsidR="003247B0" w:rsidRPr="001971CD">
        <w:rPr>
          <w:rFonts w:ascii="Work Sans" w:hAnsi="Work Sans"/>
        </w:rPr>
        <w:t xml:space="preserve">nsurer, and the </w:t>
      </w:r>
      <w:r>
        <w:rPr>
          <w:rFonts w:ascii="Work Sans" w:hAnsi="Work Sans"/>
        </w:rPr>
        <w:t>i</w:t>
      </w:r>
      <w:r w:rsidR="003247B0" w:rsidRPr="001971CD">
        <w:rPr>
          <w:rFonts w:ascii="Work Sans" w:hAnsi="Work Sans"/>
        </w:rPr>
        <w:t xml:space="preserve">nsurer is still obliged to pay the sum insured in accordance with the rules, the </w:t>
      </w:r>
      <w:r>
        <w:rPr>
          <w:rFonts w:ascii="Work Sans" w:hAnsi="Work Sans"/>
        </w:rPr>
        <w:t>i</w:t>
      </w:r>
      <w:r w:rsidR="003247B0" w:rsidRPr="001971CD">
        <w:rPr>
          <w:rFonts w:ascii="Work Sans" w:hAnsi="Work Sans"/>
        </w:rPr>
        <w:t xml:space="preserve">nsurer may seek recourse from the </w:t>
      </w:r>
      <w:r>
        <w:rPr>
          <w:rFonts w:ascii="Work Sans" w:hAnsi="Work Sans"/>
        </w:rPr>
        <w:t>p</w:t>
      </w:r>
      <w:r w:rsidR="003247B0" w:rsidRPr="001971CD">
        <w:rPr>
          <w:rFonts w:ascii="Work Sans" w:hAnsi="Work Sans"/>
        </w:rPr>
        <w:t>olicyholder in accordance with general rules on compensation.</w:t>
      </w:r>
    </w:p>
    <w:p w14:paraId="3051F381" w14:textId="77777777" w:rsidR="003247B0" w:rsidRPr="001971CD" w:rsidRDefault="003247B0" w:rsidP="003247B0">
      <w:pPr>
        <w:pStyle w:val="Brdtekst"/>
        <w:spacing w:before="82"/>
        <w:ind w:left="11" w:right="130"/>
        <w:rPr>
          <w:rFonts w:ascii="Work Sans" w:hAnsi="Work Sans"/>
        </w:rPr>
      </w:pPr>
    </w:p>
    <w:p w14:paraId="0379FA04" w14:textId="77777777" w:rsidR="002E6F5A" w:rsidRPr="003247B0" w:rsidRDefault="003247B0" w:rsidP="003247B0">
      <w:pPr>
        <w:pStyle w:val="Overskrift1"/>
        <w:numPr>
          <w:ilvl w:val="0"/>
          <w:numId w:val="2"/>
        </w:numPr>
        <w:tabs>
          <w:tab w:val="left" w:pos="1007"/>
        </w:tabs>
        <w:ind w:left="368" w:hanging="357"/>
        <w:rPr>
          <w:rFonts w:ascii="Work Sans" w:hAnsi="Work Sans"/>
        </w:rPr>
      </w:pPr>
      <w:r w:rsidRPr="003247B0">
        <w:rPr>
          <w:rFonts w:ascii="Work Sans" w:hAnsi="Work Sans"/>
        </w:rPr>
        <w:t xml:space="preserve">Changes to the terms and conditions and </w:t>
      </w:r>
      <w:r w:rsidRPr="003247B0">
        <w:rPr>
          <w:rFonts w:ascii="Work Sans" w:hAnsi="Work Sans"/>
          <w:spacing w:val="-2"/>
        </w:rPr>
        <w:t>premium rates</w:t>
      </w:r>
    </w:p>
    <w:p w14:paraId="797921D9" w14:textId="710A4430" w:rsidR="002E6F5A" w:rsidRPr="001971CD" w:rsidRDefault="00551F3F" w:rsidP="003247B0">
      <w:pPr>
        <w:pStyle w:val="Brdtekst"/>
        <w:spacing w:before="82"/>
        <w:ind w:left="11" w:right="130"/>
        <w:rPr>
          <w:rFonts w:ascii="Work Sans" w:hAnsi="Work Sans"/>
        </w:rPr>
      </w:pPr>
      <w:r>
        <w:rPr>
          <w:rFonts w:ascii="Work Sans" w:hAnsi="Work Sans"/>
        </w:rPr>
        <w:br/>
      </w:r>
      <w:r w:rsidR="003247B0" w:rsidRPr="001971CD">
        <w:rPr>
          <w:rFonts w:ascii="Work Sans" w:hAnsi="Work Sans"/>
        </w:rPr>
        <w:t xml:space="preserve">No later than one month before the expiry date of the policy, the </w:t>
      </w:r>
      <w:r w:rsidR="00240F7F">
        <w:rPr>
          <w:rFonts w:ascii="Work Sans" w:hAnsi="Work Sans"/>
        </w:rPr>
        <w:t>i</w:t>
      </w:r>
      <w:r w:rsidR="003247B0" w:rsidRPr="001971CD">
        <w:rPr>
          <w:rFonts w:ascii="Work Sans" w:hAnsi="Work Sans"/>
        </w:rPr>
        <w:t>nsurer may demand that the insurance terms and conditions and premium rates for the group cover be changed with effect from the beginning of the following insurance year.</w:t>
      </w:r>
    </w:p>
    <w:p w14:paraId="280FAD8E" w14:textId="77777777" w:rsidR="002E6F5A" w:rsidRPr="003247B0" w:rsidRDefault="002E6F5A" w:rsidP="003247B0">
      <w:pPr>
        <w:pStyle w:val="Brdtekst"/>
        <w:ind w:left="368" w:hanging="357"/>
        <w:rPr>
          <w:rFonts w:ascii="Work Sans" w:hAnsi="Work Sans"/>
        </w:rPr>
      </w:pPr>
    </w:p>
    <w:p w14:paraId="7C81DE06" w14:textId="77777777" w:rsidR="002E6F5A" w:rsidRPr="003247B0" w:rsidRDefault="003247B0" w:rsidP="003247B0">
      <w:pPr>
        <w:pStyle w:val="Overskrift1"/>
        <w:numPr>
          <w:ilvl w:val="0"/>
          <w:numId w:val="2"/>
        </w:numPr>
        <w:tabs>
          <w:tab w:val="left" w:pos="1007"/>
        </w:tabs>
        <w:ind w:left="368" w:hanging="357"/>
        <w:rPr>
          <w:rFonts w:ascii="Work Sans" w:hAnsi="Work Sans"/>
        </w:rPr>
      </w:pPr>
      <w:r w:rsidRPr="003247B0">
        <w:rPr>
          <w:rFonts w:ascii="Work Sans" w:hAnsi="Work Sans"/>
          <w:spacing w:val="-2"/>
        </w:rPr>
        <w:t>Privacy</w:t>
      </w:r>
    </w:p>
    <w:p w14:paraId="7D235559" w14:textId="77777777" w:rsidR="00240F7F" w:rsidRDefault="00240F7F" w:rsidP="003247B0">
      <w:pPr>
        <w:pStyle w:val="Brdtekst"/>
        <w:ind w:left="368" w:hanging="357"/>
        <w:rPr>
          <w:rFonts w:ascii="Work Sans" w:hAnsi="Work Sans"/>
        </w:rPr>
      </w:pPr>
    </w:p>
    <w:p w14:paraId="3681D568" w14:textId="77777777" w:rsidR="00463369" w:rsidRPr="00463369" w:rsidRDefault="00463369" w:rsidP="00463369">
      <w:pPr>
        <w:rPr>
          <w:rFonts w:ascii="Work Sans" w:hAnsi="Work Sans"/>
          <w:sz w:val="20"/>
          <w:szCs w:val="20"/>
        </w:rPr>
      </w:pPr>
      <w:r w:rsidRPr="00463369">
        <w:rPr>
          <w:rFonts w:ascii="Work Sans" w:hAnsi="Work Sans"/>
          <w:sz w:val="20"/>
          <w:szCs w:val="20"/>
        </w:rPr>
        <w:t xml:space="preserve">Information relating to privacy can be found </w:t>
      </w:r>
      <w:proofErr w:type="gramStart"/>
      <w:r w:rsidRPr="00463369">
        <w:rPr>
          <w:rFonts w:ascii="Work Sans" w:hAnsi="Work Sans"/>
          <w:sz w:val="20"/>
          <w:szCs w:val="20"/>
        </w:rPr>
        <w:t>at</w:t>
      </w:r>
      <w:proofErr w:type="gramEnd"/>
      <w:r w:rsidRPr="00463369">
        <w:rPr>
          <w:rFonts w:ascii="Work Sans" w:hAnsi="Work Sans"/>
          <w:sz w:val="20"/>
          <w:szCs w:val="20"/>
        </w:rPr>
        <w:t xml:space="preserve"> norua.com.</w:t>
      </w:r>
    </w:p>
    <w:p w14:paraId="43D8E0F8" w14:textId="77777777" w:rsidR="002E6F5A" w:rsidRPr="003247B0" w:rsidRDefault="002E6F5A" w:rsidP="003247B0">
      <w:pPr>
        <w:pStyle w:val="Brdtekst"/>
        <w:ind w:left="368" w:hanging="357"/>
        <w:rPr>
          <w:rFonts w:ascii="Work Sans" w:hAnsi="Work Sans"/>
        </w:rPr>
      </w:pPr>
    </w:p>
    <w:p w14:paraId="723B6AC0" w14:textId="77777777" w:rsidR="002E6F5A" w:rsidRPr="003247B0" w:rsidRDefault="002E6F5A" w:rsidP="003247B0">
      <w:pPr>
        <w:pStyle w:val="Brdtekst"/>
        <w:ind w:left="368" w:hanging="357"/>
        <w:rPr>
          <w:rFonts w:ascii="Work Sans" w:hAnsi="Work Sans"/>
        </w:rPr>
      </w:pPr>
    </w:p>
    <w:p w14:paraId="6C7B2DBA" w14:textId="77777777" w:rsidR="002E6F5A" w:rsidRPr="003247B0" w:rsidRDefault="003247B0" w:rsidP="003247B0">
      <w:pPr>
        <w:pStyle w:val="Overskrift1"/>
        <w:numPr>
          <w:ilvl w:val="0"/>
          <w:numId w:val="2"/>
        </w:numPr>
        <w:tabs>
          <w:tab w:val="left" w:pos="1007"/>
        </w:tabs>
        <w:ind w:left="368" w:hanging="357"/>
        <w:rPr>
          <w:rFonts w:ascii="Work Sans" w:hAnsi="Work Sans"/>
        </w:rPr>
      </w:pPr>
      <w:r w:rsidRPr="003247B0">
        <w:rPr>
          <w:rFonts w:ascii="Work Sans" w:hAnsi="Work Sans"/>
        </w:rPr>
        <w:t xml:space="preserve">Obligations under </w:t>
      </w:r>
      <w:r w:rsidRPr="003247B0">
        <w:rPr>
          <w:rFonts w:ascii="Work Sans" w:hAnsi="Work Sans"/>
          <w:spacing w:val="-2"/>
        </w:rPr>
        <w:t>money laundering regulations</w:t>
      </w:r>
    </w:p>
    <w:p w14:paraId="010B8E95" w14:textId="5972829B" w:rsidR="00BF24F8" w:rsidRPr="00F03F0D" w:rsidRDefault="00BF24F8" w:rsidP="00BF24F8">
      <w:pPr>
        <w:pStyle w:val="Brdtekst"/>
        <w:spacing w:before="160" w:line="259" w:lineRule="auto"/>
        <w:ind w:left="0" w:right="220"/>
        <w:rPr>
          <w:rFonts w:ascii="Work Sans" w:hAnsi="Work Sans"/>
        </w:rPr>
      </w:pPr>
      <w:r>
        <w:rPr>
          <w:rFonts w:ascii="Work Sans" w:hAnsi="Work Sans"/>
        </w:rPr>
        <w:br/>
        <w:t xml:space="preserve">As </w:t>
      </w:r>
      <w:r w:rsidRPr="00F03F0D">
        <w:rPr>
          <w:rFonts w:ascii="Work Sans" w:hAnsi="Work Sans"/>
        </w:rPr>
        <w:t xml:space="preserve">an insurance company, the company is subject to strict regulations to prevent their products and services from being used for financial crime and/or to finance terrorist activities. As a result, it is required to obtain information about its customers </w:t>
      </w:r>
      <w:proofErr w:type="gramStart"/>
      <w:r w:rsidRPr="00F03F0D">
        <w:rPr>
          <w:rFonts w:ascii="Work Sans" w:hAnsi="Work Sans"/>
        </w:rPr>
        <w:t>in order to</w:t>
      </w:r>
      <w:proofErr w:type="gramEnd"/>
      <w:r w:rsidRPr="00F03F0D">
        <w:rPr>
          <w:rFonts w:ascii="Work Sans" w:hAnsi="Work Sans"/>
        </w:rPr>
        <w:t xml:space="preserve"> fulfil its obligations under the money laundering regulations. Before the agreement can be established, it must have received the information and documentation that the company deems necessary to comply with money </w:t>
      </w:r>
      <w:r w:rsidRPr="00F03F0D">
        <w:rPr>
          <w:rFonts w:ascii="Work Sans" w:hAnsi="Work Sans"/>
        </w:rPr>
        <w:lastRenderedPageBreak/>
        <w:t>laundering regulations.</w:t>
      </w:r>
    </w:p>
    <w:p w14:paraId="4719909A" w14:textId="6B027725" w:rsidR="003247B0" w:rsidRPr="001971CD" w:rsidRDefault="00BF24F8" w:rsidP="002D28F6">
      <w:pPr>
        <w:pStyle w:val="Brdtekst"/>
        <w:spacing w:before="82"/>
        <w:ind w:left="11" w:right="130"/>
        <w:rPr>
          <w:rFonts w:ascii="Work Sans" w:hAnsi="Work Sans"/>
        </w:rPr>
      </w:pPr>
      <w:r w:rsidRPr="00F03F0D">
        <w:rPr>
          <w:rFonts w:ascii="Work Sans" w:hAnsi="Work Sans"/>
        </w:rPr>
        <w:t xml:space="preserve">The company may choose not to enter into the agreement or change the scope of the agreement if the </w:t>
      </w:r>
      <w:proofErr w:type="gramStart"/>
      <w:r w:rsidRPr="00F03F0D">
        <w:rPr>
          <w:rFonts w:ascii="Work Sans" w:hAnsi="Work Sans"/>
        </w:rPr>
        <w:t>aforementioned requirements</w:t>
      </w:r>
      <w:proofErr w:type="gramEnd"/>
      <w:r w:rsidRPr="00F03F0D">
        <w:rPr>
          <w:rFonts w:ascii="Work Sans" w:hAnsi="Work Sans"/>
        </w:rPr>
        <w:t xml:space="preserve"> are not met or if there is suspicion of money laundering, terrorist financing or financial crime. Furthermore, the company may terminate existing customer relationships if there are objective grounds/suspicion that the company's products or services are being used as a tool for money laundering, terrorist financing or financial </w:t>
      </w:r>
      <w:r w:rsidR="002D28F6">
        <w:rPr>
          <w:rFonts w:ascii="Work Sans" w:hAnsi="Work Sans"/>
        </w:rPr>
        <w:t>crime.</w:t>
      </w:r>
    </w:p>
    <w:p w14:paraId="05197FDA" w14:textId="77777777" w:rsidR="002E6F5A" w:rsidRPr="003247B0" w:rsidRDefault="002E6F5A" w:rsidP="003247B0">
      <w:pPr>
        <w:pStyle w:val="Brdtekst"/>
        <w:ind w:left="368" w:hanging="357"/>
        <w:rPr>
          <w:rFonts w:ascii="Work Sans" w:hAnsi="Work Sans"/>
        </w:rPr>
      </w:pPr>
    </w:p>
    <w:p w14:paraId="3E4A704A" w14:textId="77777777" w:rsidR="002E6F5A" w:rsidRPr="003247B0" w:rsidRDefault="002E6F5A" w:rsidP="003247B0">
      <w:pPr>
        <w:pStyle w:val="Brdtekst"/>
        <w:ind w:left="368" w:hanging="357"/>
        <w:rPr>
          <w:rFonts w:ascii="Work Sans" w:hAnsi="Work Sans"/>
        </w:rPr>
      </w:pPr>
    </w:p>
    <w:p w14:paraId="48C29329" w14:textId="46C747AC" w:rsidR="002E6F5A" w:rsidRPr="003247B0" w:rsidRDefault="00B453C8" w:rsidP="003247B0">
      <w:pPr>
        <w:pStyle w:val="Overskrift1"/>
        <w:numPr>
          <w:ilvl w:val="0"/>
          <w:numId w:val="2"/>
        </w:numPr>
        <w:tabs>
          <w:tab w:val="left" w:pos="1007"/>
        </w:tabs>
        <w:ind w:left="368" w:hanging="357"/>
        <w:rPr>
          <w:rFonts w:ascii="Work Sans" w:hAnsi="Work Sans"/>
        </w:rPr>
      </w:pPr>
      <w:r>
        <w:rPr>
          <w:rFonts w:ascii="Work Sans" w:hAnsi="Work Sans"/>
        </w:rPr>
        <w:t>Assistance in c</w:t>
      </w:r>
      <w:r w:rsidR="00FD3B26">
        <w:rPr>
          <w:rFonts w:ascii="Work Sans" w:hAnsi="Work Sans"/>
        </w:rPr>
        <w:t xml:space="preserve">omplaints </w:t>
      </w:r>
    </w:p>
    <w:p w14:paraId="6A74253B" w14:textId="49B27A70" w:rsidR="002B5638" w:rsidRPr="00561A19" w:rsidRDefault="002B5638" w:rsidP="002B5638">
      <w:pPr>
        <w:pStyle w:val="Brdtekst"/>
        <w:spacing w:line="259" w:lineRule="auto"/>
        <w:ind w:left="0" w:right="198"/>
        <w:rPr>
          <w:rFonts w:ascii="Work Sans" w:hAnsi="Work Sans"/>
        </w:rPr>
      </w:pPr>
      <w:r>
        <w:rPr>
          <w:rFonts w:ascii="Work Sans" w:hAnsi="Work Sans"/>
        </w:rPr>
        <w:br/>
      </w:r>
      <w:r w:rsidR="003247B0" w:rsidRPr="001971CD">
        <w:rPr>
          <w:rFonts w:ascii="Work Sans" w:hAnsi="Work Sans"/>
        </w:rPr>
        <w:t xml:space="preserve">If </w:t>
      </w:r>
      <w:r w:rsidRPr="00561A19">
        <w:rPr>
          <w:rFonts w:ascii="Work Sans" w:hAnsi="Work Sans"/>
        </w:rPr>
        <w:t xml:space="preserve">a dispute arises between the policyholder and the company, the dispute may be brought before </w:t>
      </w:r>
      <w:r>
        <w:rPr>
          <w:rFonts w:ascii="Work Sans" w:hAnsi="Work Sans"/>
        </w:rPr>
        <w:t>t</w:t>
      </w:r>
      <w:r w:rsidRPr="008872CB">
        <w:rPr>
          <w:rFonts w:ascii="Work Sans" w:hAnsi="Work Sans"/>
        </w:rPr>
        <w:t>he Norwegian Financial Services Complaints Board</w:t>
      </w:r>
      <w:r w:rsidRPr="00561A19">
        <w:rPr>
          <w:rFonts w:ascii="Work Sans" w:hAnsi="Work Sans"/>
        </w:rPr>
        <w:t>.</w:t>
      </w:r>
      <w:r w:rsidRPr="00EA7DF1">
        <w:rPr>
          <w:rFonts w:ascii="Work Sans" w:hAnsi="Work Sans"/>
        </w:rPr>
        <w:t xml:space="preserve"> </w:t>
      </w:r>
      <w:r w:rsidRPr="00561A19">
        <w:rPr>
          <w:rFonts w:ascii="Work Sans" w:hAnsi="Work Sans"/>
        </w:rPr>
        <w:t xml:space="preserve">The Board's decision is not final, and the dispute may be brought before the courts. Further information on this can be obtained by contacting the company or the </w:t>
      </w:r>
      <w:r w:rsidRPr="008872CB">
        <w:rPr>
          <w:rFonts w:ascii="Work Sans" w:hAnsi="Work Sans"/>
        </w:rPr>
        <w:t>Norwegian Financial Services Complaints Board</w:t>
      </w:r>
      <w:r w:rsidRPr="00561A19">
        <w:rPr>
          <w:rFonts w:ascii="Work Sans" w:hAnsi="Work Sans"/>
        </w:rPr>
        <w:t xml:space="preserve">, PO Box 53 </w:t>
      </w:r>
      <w:proofErr w:type="spellStart"/>
      <w:r w:rsidRPr="00561A19">
        <w:rPr>
          <w:rFonts w:ascii="Work Sans" w:hAnsi="Work Sans"/>
        </w:rPr>
        <w:t>Skøyen</w:t>
      </w:r>
      <w:proofErr w:type="spellEnd"/>
      <w:r w:rsidRPr="00561A19">
        <w:rPr>
          <w:rFonts w:ascii="Work Sans" w:hAnsi="Work Sans"/>
        </w:rPr>
        <w:t>, 0212 Oslo, tel. 23 13 19 60.</w:t>
      </w:r>
    </w:p>
    <w:p w14:paraId="1F113284" w14:textId="4D7F85C0" w:rsidR="002E6F5A" w:rsidRPr="001971CD" w:rsidRDefault="002B5638" w:rsidP="002B5638">
      <w:pPr>
        <w:pStyle w:val="Brdtekst"/>
        <w:spacing w:before="82"/>
        <w:ind w:left="11" w:right="130"/>
        <w:rPr>
          <w:rFonts w:ascii="Work Sans" w:hAnsi="Work Sans"/>
        </w:rPr>
      </w:pPr>
      <w:r w:rsidRPr="00561A19">
        <w:rPr>
          <w:rFonts w:ascii="Work Sans" w:hAnsi="Work Sans"/>
        </w:rPr>
        <w:t xml:space="preserve">Any disputes between the parties arising from the insurance relationship shall be brought before the </w:t>
      </w:r>
      <w:r w:rsidR="00B453C8">
        <w:rPr>
          <w:rFonts w:ascii="Work Sans" w:hAnsi="Work Sans"/>
        </w:rPr>
        <w:t>D</w:t>
      </w:r>
      <w:r w:rsidRPr="00561A19">
        <w:rPr>
          <w:rFonts w:ascii="Work Sans" w:hAnsi="Work Sans"/>
        </w:rPr>
        <w:t xml:space="preserve">istrict </w:t>
      </w:r>
      <w:r w:rsidR="00B453C8">
        <w:rPr>
          <w:rFonts w:ascii="Work Sans" w:hAnsi="Work Sans"/>
        </w:rPr>
        <w:t>C</w:t>
      </w:r>
      <w:r w:rsidRPr="00561A19">
        <w:rPr>
          <w:rFonts w:ascii="Work Sans" w:hAnsi="Work Sans"/>
        </w:rPr>
        <w:t>ourt/</w:t>
      </w:r>
      <w:r w:rsidR="00B453C8">
        <w:rPr>
          <w:rFonts w:ascii="Work Sans" w:hAnsi="Work Sans"/>
        </w:rPr>
        <w:t>C</w:t>
      </w:r>
      <w:r w:rsidRPr="00561A19">
        <w:rPr>
          <w:rFonts w:ascii="Work Sans" w:hAnsi="Work Sans"/>
        </w:rPr>
        <w:t xml:space="preserve">onciliation </w:t>
      </w:r>
      <w:r w:rsidR="00B453C8">
        <w:rPr>
          <w:rFonts w:ascii="Work Sans" w:hAnsi="Work Sans"/>
        </w:rPr>
        <w:t>B</w:t>
      </w:r>
      <w:r w:rsidRPr="00561A19">
        <w:rPr>
          <w:rFonts w:ascii="Work Sans" w:hAnsi="Work Sans"/>
        </w:rPr>
        <w:t>oard</w:t>
      </w:r>
      <w:r w:rsidR="003247B0" w:rsidRPr="001971CD">
        <w:rPr>
          <w:rFonts w:ascii="Work Sans" w:hAnsi="Work Sans"/>
        </w:rPr>
        <w:t>.</w:t>
      </w:r>
    </w:p>
    <w:sectPr w:rsidR="002E6F5A" w:rsidRPr="001971CD">
      <w:headerReference w:type="even" r:id="rId8"/>
      <w:headerReference w:type="default" r:id="rId9"/>
      <w:footerReference w:type="even" r:id="rId10"/>
      <w:footerReference w:type="default" r:id="rId11"/>
      <w:headerReference w:type="first" r:id="rId12"/>
      <w:footerReference w:type="first" r:id="rId13"/>
      <w:pgSz w:w="11910" w:h="16840"/>
      <w:pgMar w:top="1580" w:right="980" w:bottom="1280" w:left="980" w:header="715" w:footer="10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652A" w14:textId="77777777" w:rsidR="003247B0" w:rsidRDefault="003247B0">
      <w:r>
        <w:separator/>
      </w:r>
    </w:p>
  </w:endnote>
  <w:endnote w:type="continuationSeparator" w:id="0">
    <w:p w14:paraId="61DEBD91" w14:textId="77777777" w:rsidR="003247B0" w:rsidRDefault="00324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1324" w14:textId="77777777" w:rsidR="00D22591" w:rsidRDefault="00D2259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A92E" w14:textId="77777777" w:rsidR="003247B0" w:rsidRDefault="003247B0" w:rsidP="003247B0">
    <w:pPr>
      <w:spacing w:before="15"/>
      <w:ind w:left="20"/>
      <w:rPr>
        <w:sz w:val="16"/>
      </w:rPr>
    </w:pPr>
    <w:bookmarkStart w:id="4" w:name="_Hlk214963333"/>
    <w:r>
      <w:rPr>
        <w:sz w:val="16"/>
        <w:lang w:val="nb-NO"/>
      </w:rPr>
      <w:t xml:space="preserve">Quantum Leben AG </w:t>
    </w:r>
    <w:r>
      <w:rPr>
        <w:sz w:val="16"/>
      </w:rPr>
      <w:t xml:space="preserve">| </w:t>
    </w:r>
    <w:r w:rsidRPr="00DA57C7">
      <w:rPr>
        <w:sz w:val="16"/>
      </w:rPr>
      <w:t xml:space="preserve">registered in Liechtenstein number FL-0002.124.995-9 </w:t>
    </w:r>
    <w:r>
      <w:rPr>
        <w:sz w:val="16"/>
      </w:rPr>
      <w:t xml:space="preserve">| </w:t>
    </w:r>
    <w:r w:rsidRPr="00DA57C7">
      <w:rPr>
        <w:sz w:val="16"/>
      </w:rPr>
      <w:t xml:space="preserve">quantumleben.com </w:t>
    </w:r>
    <w:r>
      <w:rPr>
        <w:sz w:val="16"/>
      </w:rPr>
      <w:t xml:space="preserve">| </w:t>
    </w:r>
    <w:proofErr w:type="spellStart"/>
    <w:r w:rsidRPr="007C393C">
      <w:rPr>
        <w:spacing w:val="-3"/>
        <w:sz w:val="16"/>
      </w:rPr>
      <w:t>Städtle</w:t>
    </w:r>
    <w:proofErr w:type="spellEnd"/>
    <w:r w:rsidRPr="007C393C">
      <w:rPr>
        <w:spacing w:val="-3"/>
        <w:sz w:val="16"/>
      </w:rPr>
      <w:t xml:space="preserve"> 18, FL-9490 Vaduz, Liechtenstein</w:t>
    </w:r>
  </w:p>
  <w:bookmarkEnd w:id="4"/>
  <w:p w14:paraId="651CEA04" w14:textId="3707F23B" w:rsidR="002E6F5A" w:rsidRPr="003247B0" w:rsidRDefault="002E6F5A" w:rsidP="003247B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AAAD" w14:textId="77777777" w:rsidR="00D22591" w:rsidRDefault="00D2259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4E36" w14:textId="77777777" w:rsidR="003247B0" w:rsidRDefault="003247B0">
      <w:r>
        <w:separator/>
      </w:r>
    </w:p>
  </w:footnote>
  <w:footnote w:type="continuationSeparator" w:id="0">
    <w:p w14:paraId="4CEE105F" w14:textId="77777777" w:rsidR="003247B0" w:rsidRDefault="00324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64BB" w14:textId="77777777" w:rsidR="00D22591" w:rsidRDefault="00D2259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1EBD" w14:textId="77777777" w:rsidR="003247B0" w:rsidRPr="003247B0" w:rsidRDefault="003247B0" w:rsidP="003247B0">
    <w:pPr>
      <w:pStyle w:val="Topptekst"/>
      <w:rPr>
        <w:lang w:val="nb-NO"/>
      </w:rPr>
    </w:pPr>
    <w:bookmarkStart w:id="0" w:name="_Hlk214969272"/>
    <w:bookmarkStart w:id="1" w:name="_Hlk214969273"/>
    <w:bookmarkStart w:id="2" w:name="_Hlk214969274"/>
    <w:bookmarkStart w:id="3" w:name="_Hlk214969275"/>
    <w:r w:rsidRPr="003247B0">
      <w:rPr>
        <w:noProof/>
      </w:rPr>
      <mc:AlternateContent>
        <mc:Choice Requires="wps">
          <w:drawing>
            <wp:anchor distT="0" distB="0" distL="0" distR="0" simplePos="0" relativeHeight="251659776" behindDoc="1" locked="0" layoutInCell="1" allowOverlap="1" wp14:anchorId="073345AA" wp14:editId="55044DAB">
              <wp:simplePos x="0" y="0"/>
              <wp:positionH relativeFrom="margin">
                <wp:posOffset>-190500</wp:posOffset>
              </wp:positionH>
              <wp:positionV relativeFrom="page">
                <wp:posOffset>619760</wp:posOffset>
              </wp:positionV>
              <wp:extent cx="128778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7780" cy="167005"/>
                      </a:xfrm>
                      <a:prstGeom prst="rect">
                        <a:avLst/>
                      </a:prstGeom>
                    </wps:spPr>
                    <wps:txbx>
                      <w:txbxContent>
                        <w:p w14:paraId="4FF92397" w14:textId="77777777" w:rsidR="003247B0" w:rsidRPr="00DA57C7" w:rsidRDefault="003247B0" w:rsidP="003247B0">
                          <w:pPr>
                            <w:spacing w:before="12"/>
                            <w:ind w:left="20"/>
                            <w:rPr>
                              <w:sz w:val="20"/>
                              <w:lang w:val="nb-NO"/>
                            </w:rPr>
                          </w:pPr>
                          <w:r>
                            <w:rPr>
                              <w:sz w:val="20"/>
                            </w:rPr>
                            <w:t>Valid from</w:t>
                          </w:r>
                          <w:r>
                            <w:rPr>
                              <w:spacing w:val="-2"/>
                              <w:sz w:val="20"/>
                            </w:rPr>
                            <w:t xml:space="preserve"> 01.</w:t>
                          </w:r>
                          <w:r>
                            <w:rPr>
                              <w:spacing w:val="-2"/>
                              <w:sz w:val="20"/>
                              <w:lang w:val="nb-NO"/>
                            </w:rPr>
                            <w:t>12.2025</w:t>
                          </w:r>
                        </w:p>
                      </w:txbxContent>
                    </wps:txbx>
                    <wps:bodyPr wrap="square" lIns="0" tIns="0" rIns="0" bIns="0" rtlCol="0">
                      <a:noAutofit/>
                    </wps:bodyPr>
                  </wps:wsp>
                </a:graphicData>
              </a:graphic>
            </wp:anchor>
          </w:drawing>
        </mc:Choice>
        <mc:Fallback>
          <w:pict>
            <v:shapetype w14:anchorId="073345AA" id="_x0000_t202" coordsize="21600,21600" o:spt="202" path="m,l,21600r21600,l21600,xe">
              <v:stroke joinstyle="miter"/>
              <v:path gradientshapeok="t" o:connecttype="rect"/>
            </v:shapetype>
            <v:shape id="Textbox 2" o:spid="_x0000_s1026" type="#_x0000_t202" style="position:absolute;margin-left:-15pt;margin-top:48.8pt;width:101.4pt;height:13.15pt;z-index:-251656704;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" filled="f" stroked="f">
              <v:textbox inset="0,0,0,0">
                <w:txbxContent>
                  <w:p w14:paraId="4FF92397" w14:textId="77777777" w:rsidR="003247B0" w:rsidRPr="00DA57C7" w:rsidRDefault="003247B0" w:rsidP="003247B0">
                    <w:pPr>
                      <w:spacing w:before="12"/>
                      <w:ind w:left="20"/>
                      <w:rPr>
                        <w:sz w:val="20"/>
                        <w:lang w:val="nb-NO"/>
                      </w:rPr>
                    </w:pPr>
                    <w:r>
                      <w:rPr>
                        <w:sz w:val="20"/>
                      </w:rPr>
                      <w:t>Valid from</w:t>
                    </w:r>
                    <w:r>
                      <w:rPr>
                        <w:spacing w:val="-2"/>
                        <w:sz w:val="20"/>
                      </w:rPr>
                      <w:t xml:space="preserve"> 01.</w:t>
                    </w:r>
                    <w:r>
                      <w:rPr>
                        <w:spacing w:val="-2"/>
                        <w:sz w:val="20"/>
                        <w:lang w:val="nb-NO"/>
                      </w:rPr>
                      <w:t>12.2025</w:t>
                    </w:r>
                  </w:p>
                </w:txbxContent>
              </v:textbox>
              <w10:wrap anchorx="margin" anchory="page"/>
            </v:shape>
          </w:pict>
        </mc:Fallback>
      </mc:AlternateContent>
    </w:r>
    <w:r w:rsidRPr="003247B0">
      <w:rPr>
        <w:noProof/>
      </w:rPr>
      <mc:AlternateContent>
        <mc:Choice Requires="wps">
          <w:drawing>
            <wp:anchor distT="0" distB="0" distL="0" distR="0" simplePos="0" relativeHeight="251664896" behindDoc="1" locked="0" layoutInCell="1" allowOverlap="1" wp14:anchorId="21247AD4" wp14:editId="0F88EB77">
              <wp:simplePos x="0" y="0"/>
              <wp:positionH relativeFrom="page">
                <wp:posOffset>449580</wp:posOffset>
              </wp:positionH>
              <wp:positionV relativeFrom="page">
                <wp:posOffset>403860</wp:posOffset>
              </wp:positionV>
              <wp:extent cx="1035050" cy="182245"/>
              <wp:effectExtent l="0" t="0" r="0" b="0"/>
              <wp:wrapNone/>
              <wp:docPr id="125488597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182245"/>
                      </a:xfrm>
                      <a:prstGeom prst="rect">
                        <a:avLst/>
                      </a:prstGeom>
                    </wps:spPr>
                    <wps:txbx>
                      <w:txbxContent>
                        <w:p w14:paraId="23D72675" w14:textId="77777777" w:rsidR="003247B0" w:rsidRDefault="003247B0" w:rsidP="003247B0">
                          <w:pPr>
                            <w:spacing w:before="13"/>
                            <w:ind w:left="20"/>
                          </w:pPr>
                          <w:r>
                            <w:rPr>
                              <w:spacing w:val="-2"/>
                            </w:rPr>
                            <w:t>Insurance terms and conditions</w:t>
                          </w:r>
                        </w:p>
                      </w:txbxContent>
                    </wps:txbx>
                    <wps:bodyPr wrap="square" lIns="0" tIns="0" rIns="0" bIns="0" rtlCol="0">
                      <a:noAutofit/>
                    </wps:bodyPr>
                  </wps:wsp>
                </a:graphicData>
              </a:graphic>
            </wp:anchor>
          </w:drawing>
        </mc:Choice>
        <mc:Fallback>
          <w:pict>
            <v:shape w14:anchorId="21247AD4" id="_x0000_s1027" type="#_x0000_t202" style="position:absolute;margin-left:35.4pt;margin-top:31.8pt;width:81.5pt;height:14.3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" filled="f" stroked="f">
              <v:textbox inset="0,0,0,0">
                <w:txbxContent>
                  <w:p w14:paraId="23D72675" w14:textId="77777777" w:rsidR="003247B0" w:rsidRDefault="003247B0" w:rsidP="003247B0">
                    <w:pPr>
                      <w:spacing w:before="13"/>
                      <w:ind w:left="20"/>
                    </w:pPr>
                    <w:r>
                      <w:rPr>
                        <w:spacing w:val="-2"/>
                      </w:rPr>
                      <w:t>Insurance terms and conditions</w:t>
                    </w:r>
                  </w:p>
                </w:txbxContent>
              </v:textbox>
              <w10:wrap anchorx="page" anchory="page"/>
            </v:shape>
          </w:pict>
        </mc:Fallback>
      </mc:AlternateContent>
    </w:r>
    <w:r w:rsidRPr="003247B0">
      <w:rPr>
        <w:noProof/>
      </w:rPr>
      <w:drawing>
        <wp:anchor distT="0" distB="0" distL="0" distR="0" simplePos="0" relativeHeight="251654656" behindDoc="1" locked="0" layoutInCell="1" allowOverlap="1" wp14:anchorId="12BDDC8C" wp14:editId="18C28FB3">
          <wp:simplePos x="0" y="0"/>
          <wp:positionH relativeFrom="page">
            <wp:posOffset>5357495</wp:posOffset>
          </wp:positionH>
          <wp:positionV relativeFrom="page">
            <wp:posOffset>439420</wp:posOffset>
          </wp:positionV>
          <wp:extent cx="1796400" cy="374400"/>
          <wp:effectExtent l="0" t="0" r="0" b="6985"/>
          <wp:wrapNone/>
          <wp:docPr id="82880391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796400" cy="374400"/>
                  </a:xfrm>
                  <a:prstGeom prst="rect">
                    <a:avLst/>
                  </a:prstGeom>
                </pic:spPr>
              </pic:pic>
            </a:graphicData>
          </a:graphic>
          <wp14:sizeRelH relativeFrom="margin">
            <wp14:pctWidth>0</wp14:pctWidth>
          </wp14:sizeRelH>
          <wp14:sizeRelV relativeFrom="margin">
            <wp14:pctHeight>0</wp14:pctHeight>
          </wp14:sizeRelV>
        </wp:anchor>
      </w:drawing>
    </w:r>
  </w:p>
  <w:bookmarkEnd w:id="0"/>
  <w:bookmarkEnd w:id="1"/>
  <w:bookmarkEnd w:id="2"/>
  <w:bookmarkEnd w:id="3"/>
  <w:p w14:paraId="4A06F008" w14:textId="77777777" w:rsidR="003247B0" w:rsidRPr="003247B0" w:rsidRDefault="003247B0" w:rsidP="003247B0">
    <w:pPr>
      <w:pStyle w:val="Topptekst"/>
    </w:pPr>
  </w:p>
  <w:p w14:paraId="6A1B88AF" w14:textId="4D2B12A1" w:rsidR="002E6F5A" w:rsidRPr="003247B0" w:rsidRDefault="002E6F5A" w:rsidP="003247B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39D8" w14:textId="77777777" w:rsidR="00D22591" w:rsidRDefault="00D2259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3689C"/>
    <w:multiLevelType w:val="multilevel"/>
    <w:tmpl w:val="2AB02854"/>
    <w:lvl w:ilvl="0">
      <w:start w:val="1"/>
      <w:numFmt w:val="decimal"/>
      <w:lvlText w:val="%1."/>
      <w:lvlJc w:val="left"/>
      <w:pPr>
        <w:ind w:left="820" w:hanging="360"/>
      </w:pPr>
      <w:rPr>
        <w:rFonts w:ascii="Arial" w:eastAsia="Arial" w:hAnsi="Arial" w:cs="Arial" w:hint="default"/>
        <w:b/>
        <w:bCs/>
        <w:i w:val="0"/>
        <w:iCs w:val="0"/>
        <w:spacing w:val="0"/>
        <w:w w:val="100"/>
        <w:sz w:val="24"/>
        <w:szCs w:val="24"/>
        <w:lang w:eastAsia="en-US" w:bidi="ar-SA"/>
      </w:rPr>
    </w:lvl>
    <w:lvl w:ilvl="1">
      <w:start w:val="1"/>
      <w:numFmt w:val="decimal"/>
      <w:lvlText w:val="%1.%2"/>
      <w:lvlJc w:val="left"/>
      <w:pPr>
        <w:ind w:left="1007" w:hanging="548"/>
      </w:pPr>
      <w:rPr>
        <w:rFonts w:ascii="Arial" w:eastAsia="Arial" w:hAnsi="Arial" w:cs="Arial" w:hint="default"/>
        <w:b/>
        <w:bCs/>
        <w:i w:val="0"/>
        <w:iCs w:val="0"/>
        <w:spacing w:val="-1"/>
        <w:w w:val="99"/>
        <w:sz w:val="20"/>
        <w:szCs w:val="20"/>
        <w:lang w:eastAsia="en-US" w:bidi="ar-SA"/>
      </w:rPr>
    </w:lvl>
    <w:lvl w:ilvl="2">
      <w:numFmt w:val="bullet"/>
      <w:lvlText w:val="•"/>
      <w:lvlJc w:val="left"/>
      <w:pPr>
        <w:ind w:left="1994" w:hanging="548"/>
      </w:pPr>
      <w:rPr>
        <w:rFonts w:hint="default"/>
        <w:lang w:eastAsia="en-US" w:bidi="ar-SA"/>
      </w:rPr>
    </w:lvl>
    <w:lvl w:ilvl="3">
      <w:numFmt w:val="bullet"/>
      <w:lvlText w:val="•"/>
      <w:lvlJc w:val="left"/>
      <w:pPr>
        <w:ind w:left="2988" w:hanging="548"/>
      </w:pPr>
      <w:rPr>
        <w:rFonts w:hint="default"/>
        <w:lang w:eastAsia="en-US" w:bidi="ar-SA"/>
      </w:rPr>
    </w:lvl>
    <w:lvl w:ilvl="4">
      <w:numFmt w:val="bullet"/>
      <w:lvlText w:val="•"/>
      <w:lvlJc w:val="left"/>
      <w:pPr>
        <w:ind w:left="3982" w:hanging="548"/>
      </w:pPr>
      <w:rPr>
        <w:rFonts w:hint="default"/>
        <w:lang w:eastAsia="en-US" w:bidi="ar-SA"/>
      </w:rPr>
    </w:lvl>
    <w:lvl w:ilvl="5">
      <w:numFmt w:val="bullet"/>
      <w:lvlText w:val="•"/>
      <w:lvlJc w:val="left"/>
      <w:pPr>
        <w:ind w:left="4976" w:hanging="548"/>
      </w:pPr>
      <w:rPr>
        <w:rFonts w:hint="default"/>
        <w:lang w:eastAsia="en-US" w:bidi="ar-SA"/>
      </w:rPr>
    </w:lvl>
    <w:lvl w:ilvl="6">
      <w:numFmt w:val="bullet"/>
      <w:lvlText w:val="•"/>
      <w:lvlJc w:val="left"/>
      <w:pPr>
        <w:ind w:left="5970" w:hanging="548"/>
      </w:pPr>
      <w:rPr>
        <w:rFonts w:hint="default"/>
        <w:lang w:eastAsia="en-US" w:bidi="ar-SA"/>
      </w:rPr>
    </w:lvl>
    <w:lvl w:ilvl="7">
      <w:numFmt w:val="bullet"/>
      <w:lvlText w:val="•"/>
      <w:lvlJc w:val="left"/>
      <w:pPr>
        <w:ind w:left="6964" w:hanging="548"/>
      </w:pPr>
      <w:rPr>
        <w:rFonts w:hint="default"/>
        <w:lang w:eastAsia="en-US" w:bidi="ar-SA"/>
      </w:rPr>
    </w:lvl>
    <w:lvl w:ilvl="8">
      <w:numFmt w:val="bullet"/>
      <w:lvlText w:val="•"/>
      <w:lvlJc w:val="left"/>
      <w:pPr>
        <w:ind w:left="7958" w:hanging="548"/>
      </w:pPr>
      <w:rPr>
        <w:rFonts w:hint="default"/>
        <w:lang w:eastAsia="en-US" w:bidi="ar-SA"/>
      </w:rPr>
    </w:lvl>
  </w:abstractNum>
  <w:abstractNum w:abstractNumId="1" w15:restartNumberingAfterBreak="0">
    <w:nsid w:val="47A133AA"/>
    <w:multiLevelType w:val="hybridMultilevel"/>
    <w:tmpl w:val="8124E280"/>
    <w:lvl w:ilvl="0" w:tplc="04140001">
      <w:start w:val="1"/>
      <w:numFmt w:val="bullet"/>
      <w:lvlText w:val=""/>
      <w:lvlJc w:val="left"/>
      <w:pPr>
        <w:ind w:left="941" w:hanging="360"/>
      </w:pPr>
      <w:rPr>
        <w:rFonts w:ascii="Symbol" w:hAnsi="Symbol" w:hint="default"/>
      </w:rPr>
    </w:lvl>
    <w:lvl w:ilvl="1" w:tplc="04140003" w:tentative="1">
      <w:start w:val="1"/>
      <w:numFmt w:val="bullet"/>
      <w:lvlText w:val="o"/>
      <w:lvlJc w:val="left"/>
      <w:pPr>
        <w:ind w:left="1661" w:hanging="360"/>
      </w:pPr>
      <w:rPr>
        <w:rFonts w:ascii="Courier New" w:hAnsi="Courier New" w:cs="Courier New" w:hint="default"/>
      </w:rPr>
    </w:lvl>
    <w:lvl w:ilvl="2" w:tplc="04140005" w:tentative="1">
      <w:start w:val="1"/>
      <w:numFmt w:val="bullet"/>
      <w:lvlText w:val=""/>
      <w:lvlJc w:val="left"/>
      <w:pPr>
        <w:ind w:left="2381" w:hanging="360"/>
      </w:pPr>
      <w:rPr>
        <w:rFonts w:ascii="Wingdings" w:hAnsi="Wingdings" w:hint="default"/>
      </w:rPr>
    </w:lvl>
    <w:lvl w:ilvl="3" w:tplc="04140001" w:tentative="1">
      <w:start w:val="1"/>
      <w:numFmt w:val="bullet"/>
      <w:lvlText w:val=""/>
      <w:lvlJc w:val="left"/>
      <w:pPr>
        <w:ind w:left="3101" w:hanging="360"/>
      </w:pPr>
      <w:rPr>
        <w:rFonts w:ascii="Symbol" w:hAnsi="Symbol" w:hint="default"/>
      </w:rPr>
    </w:lvl>
    <w:lvl w:ilvl="4" w:tplc="04140003" w:tentative="1">
      <w:start w:val="1"/>
      <w:numFmt w:val="bullet"/>
      <w:lvlText w:val="o"/>
      <w:lvlJc w:val="left"/>
      <w:pPr>
        <w:ind w:left="3821" w:hanging="360"/>
      </w:pPr>
      <w:rPr>
        <w:rFonts w:ascii="Courier New" w:hAnsi="Courier New" w:cs="Courier New" w:hint="default"/>
      </w:rPr>
    </w:lvl>
    <w:lvl w:ilvl="5" w:tplc="04140005" w:tentative="1">
      <w:start w:val="1"/>
      <w:numFmt w:val="bullet"/>
      <w:lvlText w:val=""/>
      <w:lvlJc w:val="left"/>
      <w:pPr>
        <w:ind w:left="4541" w:hanging="360"/>
      </w:pPr>
      <w:rPr>
        <w:rFonts w:ascii="Wingdings" w:hAnsi="Wingdings" w:hint="default"/>
      </w:rPr>
    </w:lvl>
    <w:lvl w:ilvl="6" w:tplc="04140001" w:tentative="1">
      <w:start w:val="1"/>
      <w:numFmt w:val="bullet"/>
      <w:lvlText w:val=""/>
      <w:lvlJc w:val="left"/>
      <w:pPr>
        <w:ind w:left="5261" w:hanging="360"/>
      </w:pPr>
      <w:rPr>
        <w:rFonts w:ascii="Symbol" w:hAnsi="Symbol" w:hint="default"/>
      </w:rPr>
    </w:lvl>
    <w:lvl w:ilvl="7" w:tplc="04140003" w:tentative="1">
      <w:start w:val="1"/>
      <w:numFmt w:val="bullet"/>
      <w:lvlText w:val="o"/>
      <w:lvlJc w:val="left"/>
      <w:pPr>
        <w:ind w:left="5981" w:hanging="360"/>
      </w:pPr>
      <w:rPr>
        <w:rFonts w:ascii="Courier New" w:hAnsi="Courier New" w:cs="Courier New" w:hint="default"/>
      </w:rPr>
    </w:lvl>
    <w:lvl w:ilvl="8" w:tplc="04140005" w:tentative="1">
      <w:start w:val="1"/>
      <w:numFmt w:val="bullet"/>
      <w:lvlText w:val=""/>
      <w:lvlJc w:val="left"/>
      <w:pPr>
        <w:ind w:left="6701" w:hanging="360"/>
      </w:pPr>
      <w:rPr>
        <w:rFonts w:ascii="Wingdings" w:hAnsi="Wingdings" w:hint="default"/>
      </w:rPr>
    </w:lvl>
  </w:abstractNum>
  <w:abstractNum w:abstractNumId="2" w15:restartNumberingAfterBreak="0">
    <w:nsid w:val="4B54271A"/>
    <w:multiLevelType w:val="hybridMultilevel"/>
    <w:tmpl w:val="85F22600"/>
    <w:lvl w:ilvl="0" w:tplc="1428906E">
      <w:numFmt w:val="bullet"/>
      <w:lvlText w:val="-"/>
      <w:lvlJc w:val="left"/>
      <w:pPr>
        <w:ind w:left="460" w:hanging="123"/>
      </w:pPr>
      <w:rPr>
        <w:rFonts w:ascii="Arial" w:eastAsia="Arial" w:hAnsi="Arial" w:cs="Arial" w:hint="default"/>
        <w:b w:val="0"/>
        <w:bCs w:val="0"/>
        <w:i w:val="0"/>
        <w:iCs w:val="0"/>
        <w:spacing w:val="0"/>
        <w:w w:val="99"/>
        <w:sz w:val="20"/>
        <w:szCs w:val="20"/>
        <w:lang w:eastAsia="en-US" w:bidi="ar-SA"/>
      </w:rPr>
    </w:lvl>
    <w:lvl w:ilvl="1" w:tplc="3E105258">
      <w:numFmt w:val="bullet"/>
      <w:lvlText w:val="•"/>
      <w:lvlJc w:val="left"/>
      <w:pPr>
        <w:ind w:left="1408" w:hanging="123"/>
      </w:pPr>
      <w:rPr>
        <w:rFonts w:hint="default"/>
        <w:lang w:eastAsia="en-US" w:bidi="ar-SA"/>
      </w:rPr>
    </w:lvl>
    <w:lvl w:ilvl="2" w:tplc="904A1050">
      <w:numFmt w:val="bullet"/>
      <w:lvlText w:val="•"/>
      <w:lvlJc w:val="left"/>
      <w:pPr>
        <w:ind w:left="2357" w:hanging="123"/>
      </w:pPr>
      <w:rPr>
        <w:rFonts w:hint="default"/>
        <w:lang w:eastAsia="en-US" w:bidi="ar-SA"/>
      </w:rPr>
    </w:lvl>
    <w:lvl w:ilvl="3" w:tplc="3F667E26">
      <w:numFmt w:val="bullet"/>
      <w:lvlText w:val="•"/>
      <w:lvlJc w:val="left"/>
      <w:pPr>
        <w:ind w:left="3305" w:hanging="123"/>
      </w:pPr>
      <w:rPr>
        <w:rFonts w:hint="default"/>
        <w:lang w:eastAsia="en-US" w:bidi="ar-SA"/>
      </w:rPr>
    </w:lvl>
    <w:lvl w:ilvl="4" w:tplc="1BEEF456">
      <w:numFmt w:val="bullet"/>
      <w:lvlText w:val="•"/>
      <w:lvlJc w:val="left"/>
      <w:pPr>
        <w:ind w:left="4254" w:hanging="123"/>
      </w:pPr>
      <w:rPr>
        <w:rFonts w:hint="default"/>
        <w:lang w:eastAsia="en-US" w:bidi="ar-SA"/>
      </w:rPr>
    </w:lvl>
    <w:lvl w:ilvl="5" w:tplc="3050E394">
      <w:numFmt w:val="bullet"/>
      <w:lvlText w:val="•"/>
      <w:lvlJc w:val="left"/>
      <w:pPr>
        <w:ind w:left="5203" w:hanging="123"/>
      </w:pPr>
      <w:rPr>
        <w:rFonts w:hint="default"/>
        <w:lang w:eastAsia="en-US" w:bidi="ar-SA"/>
      </w:rPr>
    </w:lvl>
    <w:lvl w:ilvl="6" w:tplc="6450E26A">
      <w:numFmt w:val="bullet"/>
      <w:lvlText w:val="•"/>
      <w:lvlJc w:val="left"/>
      <w:pPr>
        <w:ind w:left="6151" w:hanging="123"/>
      </w:pPr>
      <w:rPr>
        <w:rFonts w:hint="default"/>
        <w:lang w:eastAsia="en-US" w:bidi="ar-SA"/>
      </w:rPr>
    </w:lvl>
    <w:lvl w:ilvl="7" w:tplc="9282FB04">
      <w:numFmt w:val="bullet"/>
      <w:lvlText w:val="•"/>
      <w:lvlJc w:val="left"/>
      <w:pPr>
        <w:ind w:left="7100" w:hanging="123"/>
      </w:pPr>
      <w:rPr>
        <w:rFonts w:hint="default"/>
        <w:lang w:eastAsia="en-US" w:bidi="ar-SA"/>
      </w:rPr>
    </w:lvl>
    <w:lvl w:ilvl="8" w:tplc="5BA07556">
      <w:numFmt w:val="bullet"/>
      <w:lvlText w:val="•"/>
      <w:lvlJc w:val="left"/>
      <w:pPr>
        <w:ind w:left="8049" w:hanging="123"/>
      </w:pPr>
      <w:rPr>
        <w:rFonts w:hint="default"/>
        <w:lang w:eastAsia="en-US" w:bidi="ar-SA"/>
      </w:rPr>
    </w:lvl>
  </w:abstractNum>
  <w:num w:numId="1" w16cid:durableId="1248425243">
    <w:abstractNumId w:val="2"/>
  </w:num>
  <w:num w:numId="2" w16cid:durableId="1783960570">
    <w:abstractNumId w:val="0"/>
  </w:num>
  <w:num w:numId="3" w16cid:durableId="1793131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5A"/>
    <w:rsid w:val="00037D38"/>
    <w:rsid w:val="00042010"/>
    <w:rsid w:val="00054AAD"/>
    <w:rsid w:val="00136BBF"/>
    <w:rsid w:val="001971CD"/>
    <w:rsid w:val="001C03F0"/>
    <w:rsid w:val="00240F7F"/>
    <w:rsid w:val="00253B1F"/>
    <w:rsid w:val="00261735"/>
    <w:rsid w:val="00261B9C"/>
    <w:rsid w:val="002A2F35"/>
    <w:rsid w:val="002B5638"/>
    <w:rsid w:val="002D28F6"/>
    <w:rsid w:val="002E6F5A"/>
    <w:rsid w:val="003247B0"/>
    <w:rsid w:val="00331829"/>
    <w:rsid w:val="003421FB"/>
    <w:rsid w:val="00390F9C"/>
    <w:rsid w:val="003F344B"/>
    <w:rsid w:val="00463369"/>
    <w:rsid w:val="00471931"/>
    <w:rsid w:val="004D0761"/>
    <w:rsid w:val="004D09E6"/>
    <w:rsid w:val="00551F3F"/>
    <w:rsid w:val="005553E2"/>
    <w:rsid w:val="006521BA"/>
    <w:rsid w:val="007D3DA8"/>
    <w:rsid w:val="007F093F"/>
    <w:rsid w:val="00831650"/>
    <w:rsid w:val="008B671B"/>
    <w:rsid w:val="009105BA"/>
    <w:rsid w:val="009E5A1B"/>
    <w:rsid w:val="00A25114"/>
    <w:rsid w:val="00A47C4D"/>
    <w:rsid w:val="00A80804"/>
    <w:rsid w:val="00AA3880"/>
    <w:rsid w:val="00AD57B1"/>
    <w:rsid w:val="00AE71BE"/>
    <w:rsid w:val="00B453C8"/>
    <w:rsid w:val="00B87440"/>
    <w:rsid w:val="00BA5752"/>
    <w:rsid w:val="00BC03B2"/>
    <w:rsid w:val="00BF24F8"/>
    <w:rsid w:val="00CD3406"/>
    <w:rsid w:val="00CF039A"/>
    <w:rsid w:val="00D22591"/>
    <w:rsid w:val="00D8004C"/>
    <w:rsid w:val="00E0257E"/>
    <w:rsid w:val="00E16A23"/>
    <w:rsid w:val="00E54346"/>
    <w:rsid w:val="00E756F2"/>
    <w:rsid w:val="00FD3B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01BD38"/>
  <w15:docId w15:val="{089CDFC2-D52B-4199-93DF-A63A87A89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Overskrift1">
    <w:name w:val="heading 1"/>
    <w:basedOn w:val="Normal"/>
    <w:uiPriority w:val="9"/>
    <w:qFormat/>
    <w:pPr>
      <w:ind w:left="1007" w:hanging="547"/>
      <w:outlineLvl w:val="0"/>
    </w:pPr>
    <w:rPr>
      <w:b/>
      <w:bCs/>
      <w:sz w:val="24"/>
      <w:szCs w:val="24"/>
    </w:rPr>
  </w:style>
  <w:style w:type="paragraph" w:styleId="Overskrift2">
    <w:name w:val="heading 2"/>
    <w:basedOn w:val="Normal"/>
    <w:uiPriority w:val="9"/>
    <w:unhideWhenUsed/>
    <w:qFormat/>
    <w:pPr>
      <w:ind w:left="835" w:hanging="547"/>
      <w:outlineLvl w:val="1"/>
    </w:pPr>
    <w:rPr>
      <w:b/>
      <w:b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pPr>
      <w:ind w:left="460"/>
    </w:pPr>
    <w:rPr>
      <w:sz w:val="20"/>
      <w:szCs w:val="20"/>
    </w:rPr>
  </w:style>
  <w:style w:type="paragraph" w:styleId="Tittel">
    <w:name w:val="Title"/>
    <w:basedOn w:val="Normal"/>
    <w:uiPriority w:val="10"/>
    <w:qFormat/>
    <w:pPr>
      <w:spacing w:before="83"/>
      <w:ind w:left="100"/>
    </w:pPr>
    <w:rPr>
      <w:b/>
      <w:bCs/>
      <w:sz w:val="32"/>
      <w:szCs w:val="32"/>
    </w:rPr>
  </w:style>
  <w:style w:type="paragraph" w:styleId="Listeavsnitt">
    <w:name w:val="List Paragraph"/>
    <w:basedOn w:val="Normal"/>
    <w:uiPriority w:val="1"/>
    <w:qFormat/>
    <w:pPr>
      <w:ind w:left="1007" w:hanging="547"/>
    </w:pPr>
  </w:style>
  <w:style w:type="paragraph" w:customStyle="1" w:styleId="TableParagraph">
    <w:name w:val="Table Paragraph"/>
    <w:basedOn w:val="Normal"/>
    <w:uiPriority w:val="1"/>
    <w:qFormat/>
    <w:pPr>
      <w:spacing w:line="210" w:lineRule="exact"/>
      <w:ind w:left="8" w:right="5"/>
      <w:jc w:val="center"/>
    </w:pPr>
  </w:style>
  <w:style w:type="paragraph" w:styleId="Topptekst">
    <w:name w:val="header"/>
    <w:basedOn w:val="Normal"/>
    <w:link w:val="TopptekstTegn"/>
    <w:uiPriority w:val="99"/>
    <w:unhideWhenUsed/>
    <w:rsid w:val="003247B0"/>
    <w:pPr>
      <w:tabs>
        <w:tab w:val="center" w:pos="4536"/>
        <w:tab w:val="right" w:pos="9072"/>
      </w:tabs>
    </w:pPr>
  </w:style>
  <w:style w:type="character" w:customStyle="1" w:styleId="TopptekstTegn">
    <w:name w:val="Topptekst Tegn"/>
    <w:basedOn w:val="Standardskriftforavsnitt"/>
    <w:link w:val="Topptekst"/>
    <w:uiPriority w:val="99"/>
    <w:rsid w:val="003247B0"/>
    <w:rPr>
      <w:rFonts w:ascii="Arial" w:eastAsia="Arial" w:hAnsi="Arial" w:cs="Arial"/>
    </w:rPr>
  </w:style>
  <w:style w:type="paragraph" w:styleId="Bunntekst">
    <w:name w:val="footer"/>
    <w:basedOn w:val="Normal"/>
    <w:link w:val="BunntekstTegn"/>
    <w:uiPriority w:val="99"/>
    <w:unhideWhenUsed/>
    <w:rsid w:val="003247B0"/>
    <w:pPr>
      <w:tabs>
        <w:tab w:val="center" w:pos="4536"/>
        <w:tab w:val="right" w:pos="9072"/>
      </w:tabs>
    </w:pPr>
  </w:style>
  <w:style w:type="character" w:customStyle="1" w:styleId="BunntekstTegn">
    <w:name w:val="Bunntekst Tegn"/>
    <w:basedOn w:val="Standardskriftforavsnitt"/>
    <w:link w:val="Bunntekst"/>
    <w:uiPriority w:val="99"/>
    <w:rsid w:val="003247B0"/>
    <w:rPr>
      <w:rFonts w:ascii="Arial" w:eastAsia="Arial" w:hAnsi="Arial" w:cs="Arial"/>
    </w:rPr>
  </w:style>
  <w:style w:type="character" w:styleId="Merknadsreferanse">
    <w:name w:val="annotation reference"/>
    <w:basedOn w:val="Standardskriftforavsnitt"/>
    <w:uiPriority w:val="99"/>
    <w:semiHidden/>
    <w:unhideWhenUsed/>
    <w:rsid w:val="00BA5752"/>
    <w:rPr>
      <w:sz w:val="16"/>
      <w:szCs w:val="16"/>
    </w:rPr>
  </w:style>
  <w:style w:type="paragraph" w:styleId="Merknadstekst">
    <w:name w:val="annotation text"/>
    <w:basedOn w:val="Normal"/>
    <w:link w:val="MerknadstekstTegn"/>
    <w:uiPriority w:val="99"/>
    <w:unhideWhenUsed/>
    <w:rsid w:val="00BA5752"/>
    <w:rPr>
      <w:sz w:val="20"/>
      <w:szCs w:val="20"/>
    </w:rPr>
  </w:style>
  <w:style w:type="character" w:customStyle="1" w:styleId="MerknadstekstTegn">
    <w:name w:val="Merknadstekst Tegn"/>
    <w:basedOn w:val="Standardskriftforavsnitt"/>
    <w:link w:val="Merknadstekst"/>
    <w:uiPriority w:val="99"/>
    <w:rsid w:val="00BA5752"/>
    <w:rPr>
      <w:rFonts w:ascii="Arial" w:eastAsia="Arial" w:hAnsi="Arial" w:cs="Arial"/>
      <w:sz w:val="20"/>
      <w:szCs w:val="20"/>
    </w:rPr>
  </w:style>
  <w:style w:type="paragraph" w:styleId="Kommentaremne">
    <w:name w:val="annotation subject"/>
    <w:basedOn w:val="Merknadstekst"/>
    <w:next w:val="Merknadstekst"/>
    <w:link w:val="KommentaremneTegn"/>
    <w:uiPriority w:val="99"/>
    <w:semiHidden/>
    <w:unhideWhenUsed/>
    <w:rsid w:val="00BA5752"/>
    <w:rPr>
      <w:b/>
      <w:bCs/>
    </w:rPr>
  </w:style>
  <w:style w:type="character" w:customStyle="1" w:styleId="KommentaremneTegn">
    <w:name w:val="Kommentaremne Tegn"/>
    <w:basedOn w:val="MerknadstekstTegn"/>
    <w:link w:val="Kommentaremne"/>
    <w:uiPriority w:val="99"/>
    <w:semiHidden/>
    <w:rsid w:val="00BA5752"/>
    <w:rPr>
      <w:rFonts w:ascii="Arial" w:eastAsia="Arial" w:hAnsi="Arial" w:cs="Arial"/>
      <w:b/>
      <w:bCs/>
      <w:sz w:val="20"/>
      <w:szCs w:val="20"/>
    </w:rPr>
  </w:style>
  <w:style w:type="character" w:styleId="Hyperkobling">
    <w:name w:val="Hyperlink"/>
    <w:basedOn w:val="Standardskriftforavsnitt"/>
    <w:uiPriority w:val="99"/>
    <w:unhideWhenUsed/>
    <w:rsid w:val="00A80804"/>
    <w:rPr>
      <w:color w:val="0000FF" w:themeColor="hyperlink"/>
      <w:u w:val="single"/>
    </w:rPr>
  </w:style>
  <w:style w:type="character" w:styleId="Ulstomtale">
    <w:name w:val="Unresolved Mention"/>
    <w:basedOn w:val="Standardskriftforavsnitt"/>
    <w:uiPriority w:val="99"/>
    <w:semiHidden/>
    <w:unhideWhenUsed/>
    <w:rsid w:val="00A80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post@norua.com" TargetMode="External"/><Relationship Id="rId12" Type="http://schemas.openxmlformats.org/officeDocument/2006/relationships/header" Target="header3.xml"/><Relationship Id="imanage.xml" Type="http://schemas.openxmlformats.org/officeDocument/2006/relationships/customXml" Target="/customXML/item.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4.xml"/></Relationships>
</file>

<file path=customXML/item.xml>��< ? x m l   v e r s i o n = " 1 . 0 "   e n c o d i n g = " u t f - 1 6 " ? > < p r o p e r t i e s   x m l n s = " h t t p : / / w w w . i m a n a g e . c o m / w o r k / x m l s c h e m a " >  
     < d o c u m e n t i d > L E G A L ! 5 2 7 9 4 1 8 . 1 < / d o c u m e n t i d >  
     < s e n d e r i d > H A N O @ R A E D E R B I N G . N O < / s e n d e r i d >  
     < s e n d e r e m a i l > H A N O @ R A E D E R B I N G . N O < / s e n d e r e m a i l >  
     < l a s t m o d i f i e d > 2 0 2 5 - 1 2 - 0 1 T 1 5 : 1 4 : 0 0 . 0 0 0 0 0 0 0 + 0 1 : 0 0 < / l a s t m o d i f i e d >  
     < d a t a b a s e > L E G A L < / d a t a b a s e >  
 < / p r o p e r t i e s > 
</file>

<file path=customXML/item1.xml><?xml version="1.0" encoding="utf-8"?>
<ct:contentTypeSchema xmlns:ct="http://schemas.microsoft.com/office/2006/metadata/contentType" xmlns:ma="http://schemas.microsoft.com/office/2006/metadata/properties/metaAttributes" ct:_="" ma:_="" ma:contentTypeName="Dokument" ma:contentTypeID="0x01010034DAF4E389840E4FADA277CBB4973AD4" ma:contentTypeVersion="10" ma:contentTypeDescription="Opprett et nytt dokument." ma:contentTypeScope="" ma:versionID="4cd0236c1b3d3b41036a8ac8fd9d49d7">
  <xsd:schema xmlns:xsd="http://www.w3.org/2001/XMLSchema" xmlns:xs="http://www.w3.org/2001/XMLSchema" xmlns:p="http://schemas.microsoft.com/office/2006/metadata/properties" xmlns:ns2="d243d365-7865-43c9-9c79-852824d0c21f" xmlns:ns3="cfcf2639-9ffa-455f-bc73-9566c1381124" targetNamespace="http://schemas.microsoft.com/office/2006/metadata/properties" ma:root="true" ma:fieldsID="29eda2ac6f21a0afa817f0ee0a9f2373" ns2:_="" ns3:_="">
    <xsd:import namespace="d243d365-7865-43c9-9c79-852824d0c21f"/>
    <xsd:import namespace="cfcf2639-9ffa-455f-bc73-9566c13811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3d365-7865-43c9-9c79-852824d0c2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0bdef254-a565-4b38-8ab6-aadb1ee25c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f2639-9ffa-455f-bc73-9566c13811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d442dc-2ea2-4f46-9bb5-738c533c58b7}" ma:internalName="TaxCatchAll" ma:showField="CatchAllData" ma:web="cfcf2639-9ffa-455f-bc73-9566c1381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43d365-7865-43c9-9c79-852824d0c21f">
      <Terms xmlns="http://schemas.microsoft.com/office/infopath/2007/PartnerControls"/>
    </lcf76f155ced4ddcb4097134ff3c332f>
    <TaxCatchAll xmlns="cfcf2639-9ffa-455f-bc73-9566c1381124" xsi:nil="true"/>
  </documentManagement>
</p:properties>
</file>

<file path=customXML/itemProps1.xml><?xml version="1.0" encoding="utf-8"?>
<ds:datastoreItem xmlns:ds="http://schemas.openxmlformats.org/officeDocument/2006/customXml" ds:itemID="{56956AFB-1CD7-4788-9C21-C994B5EBB18D}"/>
</file>

<file path=customXML/itemProps2.xml><?xml version="1.0" encoding="utf-8"?>
<ds:datastoreItem xmlns:ds="http://schemas.openxmlformats.org/officeDocument/2006/customXml" ds:itemID="{94B15F58-0C93-4CFC-A9F3-E56DEB0EC2CD}"/>
</file>

<file path=customXML/itemProps3.xml><?xml version="1.0" encoding="utf-8"?>
<ds:datastoreItem xmlns:ds="http://schemas.openxmlformats.org/officeDocument/2006/customXml" ds:itemID="{9C67E082-E65C-42BD-8630-1CAC34D25F5D}"/>
</file>

<file path=customXML/itemProps4.xml><?xml version="1.0" encoding="utf-8"?>
<ds:datastoreItem xmlns:ds="http://schemas.openxmlformats.org/officeDocument/2006/customXml" ds:itemID="{D657DAD1-49D9-438C-AB42-838CEE76D8A7}"/>
</file>

<file path=docProps/app.xml><?xml version="1.0" encoding="utf-8"?>
<Properties xmlns="http://schemas.openxmlformats.org/officeDocument/2006/extended-properties" xmlns:vt="http://schemas.openxmlformats.org/officeDocument/2006/docPropsVTypes">
  <Template>Normal</Template>
  <TotalTime>27</TotalTime>
  <Pages>5</Pages>
  <Words>1862</Words>
  <Characters>9874</Characters>
  <Application>Microsoft Office Word</Application>
  <DocSecurity>0</DocSecurity>
  <Lines>82</Lines>
  <Paragraphs>23</Paragraphs>
  <ScaleCrop>false</ScaleCrop>
  <HeadingPairs>
    <vt:vector size="2" baseType="variant">
      <vt:variant>
        <vt:lpstr>Tittel</vt:lpstr>
      </vt:variant>
      <vt:variant>
        <vt:i4>1</vt:i4>
      </vt:variant>
    </vt:vector>
  </HeadingPairs>
  <TitlesOfParts>
    <vt:vector size="1" baseType="lpstr">
      <vt:lpstr>Forsikringsvilkår Alvorlig Sykdom</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Forsikringsvilkår Alvorlig Sykdom</dc:title>
  <dc:creator>Monica Bjørkebakke</dc:creator>
  <cp:keywords>, docId:C80E218FA504D4D1186F1AE577A36239</cp:keywords>
  <cp:lastModifiedBy>Hanna Norum</cp:lastModifiedBy>
  <cp:revision>44</cp:revision>
  <dcterms:created xsi:type="dcterms:W3CDTF">2025-11-25T12:54:00Z</dcterms:created>
  <dcterms:modified xsi:type="dcterms:W3CDTF">2025-12-01T14:14:00Z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2023-10-24T00:00:00Z</vt:filetime>
  </property>
  <property fmtid="{D5CDD505-2E9C-101B-9397-08002B2CF9AE}" pid="3" name="Creator">
    <vt:lpwstr>Microsoft® Word for Microsoft 365</vt:lpwstr>
  </property>
  <property fmtid="{D5CDD505-2E9C-101B-9397-08002B2CF9AE}" pid="4" name="LastSaved">
    <vt:filetime>2025-02-19T00:00:00Z</vt:filetime>
  </property>
  <property fmtid="{D5CDD505-2E9C-101B-9397-08002B2CF9AE}" pid="5" name="Producer">
    <vt:lpwstr>Microsoft® Word for Microsoft 365</vt:lpwstr>
  </property>
  <property fmtid="{D5CDD505-2E9C-101B-9397-08002B2CF9AE}" pid="6" name="DocReference">
    <vt:lpwstr>5279418v1</vt:lpwstr>
  </property>
  <property fmtid="{D5CDD505-2E9C-101B-9397-08002B2CF9AE}" pid="7" name="EditDate">
    <vt:lpwstr>01.12.2025</vt:lpwstr>
  </property>
  <property fmtid="{D5CDD505-2E9C-101B-9397-08002B2CF9AE}" pid="8" name="ContentTypeId">
    <vt:lpwstr>0x01010034DAF4E389840E4FADA277CBB4973AD4</vt:lpwstr>
  </property>
</Properties>
</file>